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32177" w14:textId="562116C0" w:rsidR="001C7DCD" w:rsidRDefault="003F6405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 xml:space="preserve">Input paper:   </w:t>
      </w:r>
      <w:r w:rsidRPr="003F6405">
        <w:rPr>
          <w:rFonts w:ascii="Calibri" w:eastAsia="SimSun" w:hAnsi="Calibri" w:hint="eastAsia"/>
          <w:color w:val="00558C"/>
          <w:sz w:val="24"/>
          <w:szCs w:val="24"/>
          <w:lang w:val="en-US" w:eastAsia="zh-CN"/>
        </w:rPr>
        <w:t>DTEC4</w:t>
      </w:r>
      <w:r w:rsidRPr="003F6405">
        <w:rPr>
          <w:rFonts w:ascii="Calibri" w:hAnsi="Calibri"/>
          <w:color w:val="00558C"/>
          <w:sz w:val="24"/>
          <w:szCs w:val="24"/>
        </w:rPr>
        <w:t>-6.2.</w:t>
      </w:r>
      <w:r w:rsidR="003000AD">
        <w:rPr>
          <w:rFonts w:ascii="Calibri" w:hAnsi="Calibri"/>
          <w:color w:val="00558C"/>
          <w:sz w:val="24"/>
          <w:szCs w:val="24"/>
        </w:rPr>
        <w:t>3</w:t>
      </w:r>
      <w:r w:rsidRPr="003F6405">
        <w:rPr>
          <w:rFonts w:ascii="Calibri" w:hAnsi="Calibri"/>
          <w:color w:val="00558C"/>
          <w:sz w:val="24"/>
          <w:szCs w:val="24"/>
        </w:rPr>
        <w:t>.</w:t>
      </w:r>
      <w:r w:rsidR="003000AD">
        <w:rPr>
          <w:rFonts w:ascii="Calibri" w:hAnsi="Calibri"/>
          <w:color w:val="00558C"/>
          <w:sz w:val="24"/>
          <w:szCs w:val="24"/>
        </w:rPr>
        <w:t>3</w:t>
      </w:r>
    </w:p>
    <w:p w14:paraId="6B832178" w14:textId="77777777" w:rsidR="001C7DCD" w:rsidRDefault="001C7DCD">
      <w:pPr>
        <w:pStyle w:val="BodyText"/>
        <w:tabs>
          <w:tab w:val="left" w:pos="2835"/>
        </w:tabs>
        <w:rPr>
          <w:rFonts w:ascii="Calibri" w:hAnsi="Calibri"/>
        </w:rPr>
      </w:pPr>
    </w:p>
    <w:p w14:paraId="6B832179" w14:textId="77777777" w:rsidR="001C7DCD" w:rsidRDefault="003F6405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>
        <w:rPr>
          <w:rFonts w:ascii="Calibri" w:hAnsi="Calibri"/>
          <w:color w:val="00558C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6B83217A" w14:textId="77777777" w:rsidR="001C7DCD" w:rsidRDefault="003F6405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(Select as appropriate)</w:t>
      </w:r>
      <w:r>
        <w:rPr>
          <w:rFonts w:ascii="Calibri" w:hAnsi="Calibri"/>
          <w:sz w:val="18"/>
          <w:szCs w:val="18"/>
        </w:rPr>
        <w:tab/>
      </w:r>
    </w:p>
    <w:p w14:paraId="6B83217B" w14:textId="77777777" w:rsidR="001C7DCD" w:rsidRDefault="003F6405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ARM</w:t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eastAsia="SimSun" w:hAnsi="Calibri" w:cs="Arial" w:hint="eastAsia"/>
          <w:b/>
          <w:sz w:val="24"/>
          <w:szCs w:val="24"/>
          <w:lang w:eastAsia="zh-CN"/>
        </w:rPr>
        <w:t>☑</w:t>
      </w:r>
      <w:r>
        <w:rPr>
          <w:rFonts w:ascii="Calibri" w:hAnsi="Calibri" w:cs="Arial"/>
          <w:sz w:val="24"/>
          <w:szCs w:val="24"/>
        </w:rPr>
        <w:t xml:space="preserve">  Input</w:t>
      </w:r>
    </w:p>
    <w:p w14:paraId="6B83217C" w14:textId="77777777" w:rsidR="001C7DCD" w:rsidRDefault="003F6405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DTEC</w:t>
      </w:r>
      <w:r>
        <w:rPr>
          <w:rFonts w:ascii="Calibri" w:hAnsi="Calibri" w:cs="Arial"/>
          <w:b/>
          <w:sz w:val="24"/>
          <w:szCs w:val="24"/>
        </w:rPr>
        <w:tab/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VTS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Information</w:t>
      </w:r>
    </w:p>
    <w:p w14:paraId="6B83217D" w14:textId="77777777" w:rsidR="001C7DCD" w:rsidRDefault="001C7DCD">
      <w:pPr>
        <w:pStyle w:val="BodyText"/>
        <w:tabs>
          <w:tab w:val="left" w:pos="2835"/>
        </w:tabs>
        <w:rPr>
          <w:rFonts w:ascii="Calibri" w:hAnsi="Calibri"/>
        </w:rPr>
      </w:pPr>
    </w:p>
    <w:p w14:paraId="6B83217E" w14:textId="77777777" w:rsidR="001C7DCD" w:rsidRDefault="003F6405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Agenda item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…………………………………</w:t>
      </w:r>
    </w:p>
    <w:p w14:paraId="6B83217F" w14:textId="77777777" w:rsidR="001C7DCD" w:rsidRDefault="003F6405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Technical domain/ Task number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  <w:t>…………………………………</w:t>
      </w:r>
    </w:p>
    <w:p w14:paraId="6B832180" w14:textId="77777777" w:rsidR="001C7DCD" w:rsidRDefault="003F6405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Author(s)/Submitter(s)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eastAsia="SimSun" w:hAnsi="Calibri"/>
          <w:lang w:val="en-US" w:eastAsia="zh-CN"/>
        </w:rPr>
        <w:t>C</w:t>
      </w:r>
      <w:r>
        <w:rPr>
          <w:rFonts w:ascii="Calibri" w:eastAsia="SimSun" w:hAnsi="Calibri" w:hint="eastAsia"/>
          <w:lang w:val="en-US" w:eastAsia="zh-CN"/>
        </w:rPr>
        <w:t>hina MSA</w:t>
      </w:r>
    </w:p>
    <w:p w14:paraId="6B832181" w14:textId="77777777" w:rsidR="001C7DCD" w:rsidRDefault="003F6405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6B832182" w14:textId="77777777" w:rsidR="001C7DCD" w:rsidRDefault="003F6405">
      <w:pPr>
        <w:pStyle w:val="Title"/>
        <w:rPr>
          <w:rFonts w:asciiTheme="minorHAnsi" w:eastAsia="SimSun" w:hAnsiTheme="minorHAnsi" w:cstheme="minorHAnsi"/>
          <w:color w:val="0070C0"/>
          <w:lang w:eastAsia="zh-CN"/>
        </w:rPr>
      </w:pPr>
      <w:bookmarkStart w:id="0" w:name="_Hlk189818020"/>
      <w:r>
        <w:rPr>
          <w:rFonts w:asciiTheme="minorHAnsi" w:eastAsia="Malgun Gothic" w:hAnsiTheme="minorHAnsi" w:cstheme="minorHAnsi"/>
          <w:color w:val="0070C0"/>
          <w:lang w:eastAsia="ko-KR"/>
        </w:rPr>
        <w:t>Proposal on Supplementing the Content of the New Guideline for VDES Service and Infrastructure</w:t>
      </w:r>
    </w:p>
    <w:bookmarkEnd w:id="0"/>
    <w:p w14:paraId="6B832183" w14:textId="77777777" w:rsidR="001C7DCD" w:rsidRDefault="003F6405">
      <w:pPr>
        <w:pStyle w:val="Heading1"/>
      </w:pPr>
      <w:r>
        <w:t xml:space="preserve">Summary </w:t>
      </w:r>
    </w:p>
    <w:p w14:paraId="6B832184" w14:textId="77777777" w:rsidR="001C7DCD" w:rsidRDefault="003F6405">
      <w:pPr>
        <w:pStyle w:val="BodyText"/>
        <w:rPr>
          <w:rFonts w:ascii="Calibri" w:eastAsia="SimSun" w:hAnsi="Calibri"/>
          <w:lang w:eastAsia="zh-CN"/>
        </w:rPr>
      </w:pPr>
      <w:r>
        <w:rPr>
          <w:rFonts w:ascii="Calibri" w:eastAsia="SimSun" w:hAnsi="Calibri"/>
          <w:lang w:eastAsia="zh-CN"/>
        </w:rPr>
        <w:t xml:space="preserve">At DTEC1, it was proposed that a new guideline for VDES service and infrastructure </w:t>
      </w:r>
      <w:r>
        <w:rPr>
          <w:rFonts w:ascii="Calibri" w:eastAsia="SimSun" w:hAnsi="Calibri" w:hint="eastAsia"/>
          <w:lang w:val="en-US" w:eastAsia="zh-CN"/>
        </w:rPr>
        <w:t>should be</w:t>
      </w:r>
      <w:r>
        <w:rPr>
          <w:rFonts w:ascii="Calibri" w:eastAsia="SimSun" w:hAnsi="Calibri"/>
          <w:lang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formulated</w:t>
      </w:r>
      <w:r>
        <w:rPr>
          <w:rFonts w:ascii="Calibri" w:eastAsia="SimSun" w:hAnsi="Calibri"/>
          <w:lang w:eastAsia="zh-CN"/>
        </w:rPr>
        <w:t xml:space="preserve"> to integrate the contents of the Recommendation R0124 and R1007. NSONESOFT drafted an initial index on the proposed contents of the guideline at DTEC3, and the members were requested to assist </w:t>
      </w:r>
      <w:r>
        <w:rPr>
          <w:rFonts w:ascii="Calibri" w:eastAsia="SimSun" w:hAnsi="Calibri" w:hint="eastAsia"/>
          <w:lang w:val="en-US" w:eastAsia="zh-CN"/>
        </w:rPr>
        <w:t>its</w:t>
      </w:r>
      <w:r>
        <w:rPr>
          <w:rFonts w:ascii="Calibri" w:eastAsia="SimSun" w:hAnsi="Calibri"/>
          <w:lang w:eastAsia="zh-CN"/>
        </w:rPr>
        <w:t xml:space="preserve"> drafting. This </w:t>
      </w:r>
      <w:r>
        <w:rPr>
          <w:rFonts w:ascii="Calibri" w:eastAsia="SimSun" w:hAnsi="Calibri" w:hint="eastAsia"/>
          <w:lang w:eastAsia="zh-CN"/>
        </w:rPr>
        <w:t xml:space="preserve">document </w:t>
      </w:r>
      <w:r>
        <w:rPr>
          <w:rFonts w:ascii="Calibri" w:eastAsia="SimSun" w:hAnsi="Calibri"/>
          <w:lang w:eastAsia="zh-CN"/>
        </w:rPr>
        <w:t xml:space="preserve">put forward the overall architecture of VDES service </w:t>
      </w:r>
      <w:proofErr w:type="spellStart"/>
      <w:r>
        <w:rPr>
          <w:rFonts w:ascii="Calibri" w:eastAsia="SimSun" w:hAnsi="Calibri"/>
          <w:lang w:eastAsia="zh-CN"/>
        </w:rPr>
        <w:t>center</w:t>
      </w:r>
      <w:proofErr w:type="spellEnd"/>
      <w:r>
        <w:rPr>
          <w:rFonts w:ascii="Calibri" w:eastAsia="SimSun" w:hAnsi="Calibri"/>
          <w:lang w:eastAsia="zh-CN"/>
        </w:rPr>
        <w:t xml:space="preserve"> for the new guideline</w:t>
      </w:r>
      <w:r>
        <w:rPr>
          <w:rFonts w:ascii="Segoe UI" w:hAnsi="Segoe UI" w:cs="Segoe UI"/>
          <w:sz w:val="23"/>
          <w:szCs w:val="23"/>
        </w:rPr>
        <w:t xml:space="preserve"> </w:t>
      </w:r>
      <w:r>
        <w:rPr>
          <w:rFonts w:ascii="Calibri" w:eastAsia="SimSun" w:hAnsi="Calibri"/>
          <w:lang w:eastAsia="zh-CN"/>
        </w:rPr>
        <w:t>for further consideration at DTEC</w:t>
      </w:r>
      <w:r>
        <w:rPr>
          <w:rFonts w:ascii="Calibri" w:eastAsia="SimSun" w:hAnsi="Calibri" w:hint="eastAsia"/>
          <w:lang w:eastAsia="zh-CN"/>
        </w:rPr>
        <w:t>4</w:t>
      </w:r>
      <w:r>
        <w:rPr>
          <w:rFonts w:ascii="Calibri" w:eastAsia="SimSun" w:hAnsi="Calibri"/>
          <w:lang w:eastAsia="zh-CN"/>
        </w:rPr>
        <w:t>.</w:t>
      </w:r>
    </w:p>
    <w:p w14:paraId="6B832185" w14:textId="77777777" w:rsidR="001C7DCD" w:rsidRDefault="003F6405">
      <w:pPr>
        <w:pStyle w:val="Heading2"/>
      </w:pPr>
      <w:r>
        <w:t>Purpose of the document</w:t>
      </w:r>
    </w:p>
    <w:p w14:paraId="6B832186" w14:textId="77777777" w:rsidR="001C7DCD" w:rsidRDefault="003F6405">
      <w:pPr>
        <w:pStyle w:val="BodyText"/>
        <w:rPr>
          <w:rFonts w:ascii="Calibri" w:eastAsia="SimSun" w:hAnsi="Calibri"/>
          <w:lang w:eastAsia="zh-CN"/>
        </w:rPr>
      </w:pPr>
      <w:r>
        <w:rPr>
          <w:rFonts w:ascii="Calibri" w:eastAsia="SimSun" w:hAnsi="Calibri" w:hint="eastAsia"/>
          <w:lang w:val="en-US" w:eastAsia="zh-CN"/>
        </w:rPr>
        <w:t>B</w:t>
      </w:r>
      <w:proofErr w:type="spellStart"/>
      <w:r>
        <w:rPr>
          <w:rFonts w:ascii="Calibri" w:hAnsi="Calibri"/>
        </w:rPr>
        <w:t>ased</w:t>
      </w:r>
      <w:proofErr w:type="spellEnd"/>
      <w:r>
        <w:rPr>
          <w:rFonts w:ascii="Calibri" w:hAnsi="Calibri"/>
        </w:rPr>
        <w:t xml:space="preserve"> on the </w:t>
      </w:r>
      <w:r>
        <w:rPr>
          <w:rFonts w:ascii="Calibri" w:hAnsi="Calibri" w:hint="eastAsia"/>
        </w:rPr>
        <w:t>discussions and outcomes</w:t>
      </w:r>
      <w:r>
        <w:rPr>
          <w:rFonts w:ascii="Calibri" w:hAnsi="Calibri"/>
        </w:rPr>
        <w:t xml:space="preserve"> of DTEC3, </w:t>
      </w:r>
      <w:r>
        <w:rPr>
          <w:rFonts w:ascii="Calibri" w:eastAsia="SimSun" w:hAnsi="Calibri" w:hint="eastAsia"/>
          <w:lang w:val="en-US" w:eastAsia="zh-CN"/>
        </w:rPr>
        <w:t>t</w:t>
      </w:r>
      <w:r>
        <w:rPr>
          <w:rFonts w:ascii="Calibri" w:hAnsi="Calibri"/>
        </w:rPr>
        <w:t xml:space="preserve">his </w:t>
      </w:r>
      <w:r>
        <w:rPr>
          <w:rFonts w:ascii="Calibri" w:eastAsia="SimSun" w:hAnsi="Calibri" w:hint="eastAsia"/>
          <w:lang w:eastAsia="zh-CN"/>
        </w:rPr>
        <w:t>document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hAnsi="Calibri"/>
        </w:rPr>
        <w:t xml:space="preserve">aims to put forward suggestions on the overall architecture of </w:t>
      </w:r>
      <w:r>
        <w:rPr>
          <w:rFonts w:ascii="Calibri" w:eastAsia="SimSun" w:hAnsi="Calibri"/>
          <w:lang w:eastAsia="zh-CN"/>
        </w:rPr>
        <w:t xml:space="preserve">VDES service </w:t>
      </w:r>
      <w:proofErr w:type="spellStart"/>
      <w:r>
        <w:rPr>
          <w:rFonts w:ascii="Calibri" w:eastAsia="SimSun" w:hAnsi="Calibri"/>
          <w:lang w:eastAsia="zh-CN"/>
        </w:rPr>
        <w:t>center</w:t>
      </w:r>
      <w:proofErr w:type="spellEnd"/>
      <w:r>
        <w:rPr>
          <w:rFonts w:ascii="Calibri" w:hAnsi="Calibri"/>
        </w:rPr>
        <w:t xml:space="preserve"> for the new </w:t>
      </w:r>
      <w:proofErr w:type="gramStart"/>
      <w:r>
        <w:rPr>
          <w:rFonts w:ascii="Calibri" w:hAnsi="Calibri"/>
        </w:rPr>
        <w:t>guideline</w:t>
      </w:r>
      <w:proofErr w:type="gramEnd"/>
      <w:r>
        <w:rPr>
          <w:rFonts w:ascii="Calibri" w:hAnsi="Calibri"/>
        </w:rPr>
        <w:t xml:space="preserve">, </w:t>
      </w:r>
      <w:proofErr w:type="gramStart"/>
      <w:r>
        <w:rPr>
          <w:rFonts w:ascii="Calibri" w:hAnsi="Calibri"/>
        </w:rPr>
        <w:t>so as to</w:t>
      </w:r>
      <w:proofErr w:type="gramEnd"/>
      <w:r>
        <w:rPr>
          <w:rFonts w:ascii="Calibri" w:hAnsi="Calibri"/>
        </w:rPr>
        <w:t xml:space="preserve"> promote the subsequent revision </w:t>
      </w:r>
      <w:r>
        <w:rPr>
          <w:rFonts w:ascii="Calibri" w:hAnsi="Calibri" w:hint="eastAsia"/>
        </w:rPr>
        <w:t>process</w:t>
      </w:r>
      <w:r>
        <w:rPr>
          <w:rFonts w:ascii="Calibri" w:hAnsi="Calibri"/>
        </w:rPr>
        <w:t>.</w:t>
      </w:r>
    </w:p>
    <w:p w14:paraId="6B832187" w14:textId="77777777" w:rsidR="001C7DCD" w:rsidRDefault="003F6405">
      <w:pPr>
        <w:pStyle w:val="Heading2"/>
      </w:pPr>
      <w:r>
        <w:t>Related documents</w:t>
      </w:r>
    </w:p>
    <w:p w14:paraId="6B832188" w14:textId="77777777" w:rsidR="001C7DCD" w:rsidRDefault="003F6405">
      <w:pPr>
        <w:pStyle w:val="References"/>
        <w:numPr>
          <w:ilvl w:val="0"/>
          <w:numId w:val="0"/>
        </w:numPr>
        <w:tabs>
          <w:tab w:val="left" w:pos="0"/>
        </w:tabs>
        <w:spacing w:line="216" w:lineRule="atLeast"/>
        <w:rPr>
          <w:rFonts w:ascii="Calibri" w:hAnsi="Calibri"/>
          <w:i/>
          <w:iCs/>
          <w:szCs w:val="22"/>
          <w:lang w:val="en-US" w:eastAsia="zh-CN"/>
        </w:rPr>
      </w:pPr>
      <w:r>
        <w:rPr>
          <w:rFonts w:ascii="Calibri" w:eastAsia="SimSun" w:hAnsi="Calibri" w:hint="eastAsia"/>
          <w:szCs w:val="22"/>
          <w:lang w:val="en-US" w:eastAsia="zh-CN"/>
        </w:rPr>
        <w:t>[1</w:t>
      </w:r>
      <w:proofErr w:type="gramStart"/>
      <w:r>
        <w:rPr>
          <w:rFonts w:ascii="Calibri" w:eastAsia="SimSun" w:hAnsi="Calibri" w:hint="eastAsia"/>
          <w:szCs w:val="22"/>
          <w:lang w:val="en-US" w:eastAsia="zh-CN"/>
        </w:rPr>
        <w:t xml:space="preserve">]  </w:t>
      </w:r>
      <w:r>
        <w:rPr>
          <w:rFonts w:ascii="Calibri" w:hAnsi="Calibri" w:hint="eastAsia"/>
          <w:szCs w:val="22"/>
          <w:lang w:val="en-US" w:eastAsia="zh-CN"/>
        </w:rPr>
        <w:t>ITU</w:t>
      </w:r>
      <w:proofErr w:type="gramEnd"/>
      <w:r>
        <w:rPr>
          <w:rFonts w:ascii="Calibri" w:hAnsi="Calibri" w:hint="eastAsia"/>
          <w:szCs w:val="22"/>
          <w:lang w:val="en-US" w:eastAsia="zh-CN"/>
        </w:rPr>
        <w:t xml:space="preserve">-R M.2092-1, </w:t>
      </w:r>
      <w:r>
        <w:rPr>
          <w:rFonts w:ascii="Calibri" w:hAnsi="Calibri" w:hint="eastAsia"/>
          <w:i/>
          <w:iCs/>
          <w:szCs w:val="22"/>
          <w:lang w:val="en-US" w:eastAsia="zh-CN"/>
        </w:rPr>
        <w:t>Technical characteristics for a VHF data exchange system in the VHF maritime mobile band, February 2022</w:t>
      </w:r>
    </w:p>
    <w:p w14:paraId="6B832189" w14:textId="77777777" w:rsidR="001C7DCD" w:rsidRDefault="003F6405">
      <w:pPr>
        <w:pStyle w:val="References"/>
        <w:numPr>
          <w:ilvl w:val="0"/>
          <w:numId w:val="0"/>
        </w:numPr>
        <w:tabs>
          <w:tab w:val="left" w:pos="0"/>
        </w:tabs>
        <w:spacing w:line="340" w:lineRule="exact"/>
        <w:rPr>
          <w:rFonts w:ascii="Calibri" w:eastAsiaTheme="minorEastAsia" w:hAnsi="Calibri"/>
          <w:szCs w:val="22"/>
          <w:lang w:val="en-US" w:eastAsia="zh-CN"/>
        </w:rPr>
      </w:pPr>
      <w:r>
        <w:rPr>
          <w:rFonts w:ascii="Calibri" w:eastAsia="SimSun" w:hAnsi="Calibri" w:hint="eastAsia"/>
          <w:szCs w:val="22"/>
          <w:lang w:val="en-US" w:eastAsia="zh-CN"/>
        </w:rPr>
        <w:t>[2</w:t>
      </w:r>
      <w:proofErr w:type="gramStart"/>
      <w:r>
        <w:rPr>
          <w:rFonts w:ascii="Calibri" w:eastAsia="SimSun" w:hAnsi="Calibri" w:hint="eastAsia"/>
          <w:szCs w:val="22"/>
          <w:lang w:val="en-US" w:eastAsia="zh-CN"/>
        </w:rPr>
        <w:t xml:space="preserve">]  </w:t>
      </w:r>
      <w:r>
        <w:rPr>
          <w:rFonts w:ascii="Calibri" w:hAnsi="Calibri" w:hint="eastAsia"/>
          <w:szCs w:val="22"/>
          <w:lang w:val="en-US" w:eastAsia="zh-CN"/>
        </w:rPr>
        <w:t>IALA</w:t>
      </w:r>
      <w:proofErr w:type="gramEnd"/>
      <w:r>
        <w:rPr>
          <w:rFonts w:ascii="Calibri" w:hAnsi="Calibri" w:hint="eastAsia"/>
          <w:szCs w:val="22"/>
          <w:lang w:val="en-US" w:eastAsia="zh-CN"/>
        </w:rPr>
        <w:t xml:space="preserve"> G1117, </w:t>
      </w:r>
      <w:r>
        <w:rPr>
          <w:rFonts w:ascii="Calibri" w:hAnsi="Calibri" w:hint="eastAsia"/>
          <w:i/>
          <w:iCs/>
          <w:szCs w:val="22"/>
          <w:lang w:val="en-US" w:eastAsia="zh-CN"/>
        </w:rPr>
        <w:t>VHF Data Exchange System</w:t>
      </w:r>
      <w:r>
        <w:rPr>
          <w:rFonts w:ascii="Calibri" w:hAnsi="Calibri"/>
          <w:i/>
          <w:iCs/>
          <w:szCs w:val="22"/>
          <w:lang w:val="en-US" w:eastAsia="zh-CN"/>
        </w:rPr>
        <w:t xml:space="preserve"> </w:t>
      </w:r>
      <w:r>
        <w:rPr>
          <w:rFonts w:ascii="Calibri" w:hAnsi="Calibri" w:hint="eastAsia"/>
          <w:i/>
          <w:iCs/>
          <w:szCs w:val="22"/>
          <w:lang w:val="en-US" w:eastAsia="zh-CN"/>
        </w:rPr>
        <w:t>(VDES) Overview, December 2022</w:t>
      </w:r>
    </w:p>
    <w:p w14:paraId="6B83218A" w14:textId="77777777" w:rsidR="001C7DCD" w:rsidRDefault="003F6405">
      <w:pPr>
        <w:pStyle w:val="References"/>
        <w:numPr>
          <w:ilvl w:val="0"/>
          <w:numId w:val="0"/>
        </w:numPr>
        <w:tabs>
          <w:tab w:val="left" w:pos="0"/>
        </w:tabs>
        <w:spacing w:line="340" w:lineRule="exact"/>
        <w:rPr>
          <w:rFonts w:ascii="Calibri" w:eastAsia="Malgun Gothic" w:hAnsi="Calibri"/>
          <w:i/>
          <w:iCs/>
          <w:szCs w:val="22"/>
          <w:lang w:val="en-US" w:eastAsia="ko-KR"/>
        </w:rPr>
      </w:pPr>
      <w:r>
        <w:rPr>
          <w:rFonts w:ascii="Calibri" w:eastAsia="SimSun" w:hAnsi="Calibri" w:hint="eastAsia"/>
          <w:szCs w:val="22"/>
          <w:lang w:val="en-US" w:eastAsia="zh-CN"/>
        </w:rPr>
        <w:t>[3</w:t>
      </w:r>
      <w:proofErr w:type="gramStart"/>
      <w:r>
        <w:rPr>
          <w:rFonts w:ascii="Calibri" w:eastAsia="SimSun" w:hAnsi="Calibri" w:hint="eastAsia"/>
          <w:szCs w:val="22"/>
          <w:lang w:val="en-US" w:eastAsia="zh-CN"/>
        </w:rPr>
        <w:t xml:space="preserve">]  </w:t>
      </w:r>
      <w:r>
        <w:rPr>
          <w:rFonts w:ascii="Calibri" w:eastAsia="Malgun Gothic" w:hAnsi="Calibri" w:hint="eastAsia"/>
          <w:szCs w:val="22"/>
          <w:lang w:val="en-US" w:eastAsia="ko-KR"/>
        </w:rPr>
        <w:t>IALA</w:t>
      </w:r>
      <w:proofErr w:type="gramEnd"/>
      <w:r>
        <w:rPr>
          <w:rFonts w:ascii="Calibri" w:eastAsia="Malgun Gothic" w:hAnsi="Calibri" w:hint="eastAsia"/>
          <w:szCs w:val="22"/>
          <w:lang w:val="en-US" w:eastAsia="ko-KR"/>
        </w:rPr>
        <w:t xml:space="preserve"> R1007, </w:t>
      </w:r>
      <w:r>
        <w:rPr>
          <w:rFonts w:ascii="Calibri" w:eastAsia="Malgun Gothic" w:hAnsi="Calibri"/>
          <w:i/>
          <w:iCs/>
          <w:szCs w:val="22"/>
          <w:lang w:val="en-US" w:eastAsia="ko-KR"/>
        </w:rPr>
        <w:t>The</w:t>
      </w:r>
      <w:r>
        <w:rPr>
          <w:rFonts w:ascii="Calibri" w:eastAsia="Malgun Gothic" w:hAnsi="Calibri" w:hint="eastAsia"/>
          <w:i/>
          <w:iCs/>
          <w:szCs w:val="22"/>
          <w:lang w:val="en-US" w:eastAsia="ko-KR"/>
        </w:rPr>
        <w:t xml:space="preserve"> VHF Data Exchange System</w:t>
      </w:r>
      <w:r>
        <w:rPr>
          <w:rFonts w:ascii="Calibri" w:eastAsia="Malgun Gothic" w:hAnsi="Calibri"/>
          <w:i/>
          <w:iCs/>
          <w:szCs w:val="22"/>
          <w:lang w:val="en-US" w:eastAsia="ko-KR"/>
        </w:rPr>
        <w:t xml:space="preserve"> </w:t>
      </w:r>
      <w:r>
        <w:rPr>
          <w:rFonts w:ascii="Calibri" w:eastAsia="Malgun Gothic" w:hAnsi="Calibri" w:hint="eastAsia"/>
          <w:i/>
          <w:iCs/>
          <w:szCs w:val="22"/>
          <w:lang w:val="en-US" w:eastAsia="ko-KR"/>
        </w:rPr>
        <w:t>(VDES) for Shore Infrastructure, June 2017</w:t>
      </w:r>
    </w:p>
    <w:p w14:paraId="6B83218B" w14:textId="77777777" w:rsidR="001C7DCD" w:rsidRDefault="003F6405">
      <w:pPr>
        <w:pStyle w:val="BodyText"/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>[</w:t>
      </w:r>
      <w:r>
        <w:rPr>
          <w:rFonts w:ascii="Calibri" w:hAnsi="Calibri"/>
          <w:lang w:val="en-US" w:eastAsia="zh-CN"/>
        </w:rPr>
        <w:t>4</w:t>
      </w:r>
      <w:proofErr w:type="gramStart"/>
      <w:r>
        <w:rPr>
          <w:rFonts w:ascii="Calibri" w:hAnsi="Calibri"/>
          <w:lang w:val="en-US" w:eastAsia="zh-CN"/>
        </w:rPr>
        <w:t>]  IALA</w:t>
      </w:r>
      <w:proofErr w:type="gramEnd"/>
      <w:r>
        <w:rPr>
          <w:rFonts w:ascii="Calibri" w:hAnsi="Calibri" w:hint="eastAsia"/>
          <w:lang w:val="en-US" w:eastAsia="zh-CN"/>
        </w:rPr>
        <w:t xml:space="preserve"> </w:t>
      </w:r>
      <w:r>
        <w:rPr>
          <w:rFonts w:ascii="Calibri" w:hAnsi="Calibri"/>
          <w:lang w:val="en-US" w:eastAsia="zh-CN"/>
        </w:rPr>
        <w:t xml:space="preserve">R0124 Ed2.2, </w:t>
      </w:r>
      <w:r>
        <w:rPr>
          <w:rFonts w:ascii="Calibri" w:hAnsi="Calibri"/>
          <w:i/>
          <w:iCs/>
          <w:lang w:val="en-US" w:eastAsia="zh-CN"/>
        </w:rPr>
        <w:t>The AIS Service, December 2012</w:t>
      </w:r>
    </w:p>
    <w:p w14:paraId="6B83218C" w14:textId="77777777" w:rsidR="001C7DCD" w:rsidRDefault="003F6405">
      <w:pPr>
        <w:pStyle w:val="Heading1"/>
      </w:pPr>
      <w:r>
        <w:t>Background</w:t>
      </w:r>
    </w:p>
    <w:p w14:paraId="6B83218D" w14:textId="77777777" w:rsidR="001C7DCD" w:rsidRDefault="003F6405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>The DTEC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eastAsia="SimSun" w:hAnsi="Calibri"/>
          <w:lang w:val="en-US" w:eastAsia="zh-CN"/>
        </w:rPr>
        <w:t xml:space="preserve">1 meeting proposed </w:t>
      </w:r>
      <w:r>
        <w:rPr>
          <w:rFonts w:ascii="Calibri" w:eastAsia="SimSun" w:hAnsi="Calibri" w:hint="eastAsia"/>
          <w:lang w:val="en-US" w:eastAsia="zh-CN"/>
        </w:rPr>
        <w:t xml:space="preserve">the </w:t>
      </w:r>
      <w:r>
        <w:rPr>
          <w:rFonts w:ascii="Calibri" w:eastAsia="SimSun" w:hAnsi="Calibri"/>
          <w:lang w:val="en-US" w:eastAsia="zh-CN"/>
        </w:rPr>
        <w:t>releas</w:t>
      </w:r>
      <w:r>
        <w:rPr>
          <w:rFonts w:ascii="Calibri" w:eastAsia="SimSun" w:hAnsi="Calibri" w:hint="eastAsia"/>
          <w:lang w:val="en-US" w:eastAsia="zh-CN"/>
        </w:rPr>
        <w:t>e of</w:t>
      </w:r>
      <w:r>
        <w:rPr>
          <w:rFonts w:ascii="Calibri" w:eastAsia="SimSun" w:hAnsi="Calibri"/>
          <w:lang w:val="en-US" w:eastAsia="zh-CN"/>
        </w:rPr>
        <w:t xml:space="preserve"> a new guideline on VDES services and infrastructure after DTEC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eastAsia="SimSun" w:hAnsi="Calibri"/>
          <w:lang w:val="en-US" w:eastAsia="zh-CN"/>
        </w:rPr>
        <w:t>7 in 2026. The proposed guideline will integrate the content of IALA R0124 "AIS Service" and R1007 "</w:t>
      </w:r>
      <w:r>
        <w:rPr>
          <w:rFonts w:ascii="Calibri" w:hAnsi="Calibri"/>
        </w:rPr>
        <w:t xml:space="preserve"> The</w:t>
      </w:r>
      <w:r>
        <w:rPr>
          <w:rFonts w:ascii="Calibri" w:eastAsia="SimSun" w:hAnsi="Calibri"/>
          <w:lang w:val="en-US" w:eastAsia="zh-CN"/>
        </w:rPr>
        <w:t xml:space="preserve"> VHF Data Exchange System for Shore-Based Infrastructure."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eastAsia="SimSun" w:hAnsi="Calibri"/>
          <w:lang w:val="en-US" w:eastAsia="zh-CN"/>
        </w:rPr>
        <w:t>Based on previous research and trials, as well as the discussions at the DTEC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eastAsia="SimSun" w:hAnsi="Calibri"/>
          <w:lang w:val="en-US" w:eastAsia="zh-CN"/>
        </w:rPr>
        <w:t xml:space="preserve">3 meeting, China Maritime Safety Administration has </w:t>
      </w:r>
      <w:r>
        <w:rPr>
          <w:rFonts w:ascii="Calibri" w:eastAsia="SimSun" w:hAnsi="Calibri" w:hint="eastAsia"/>
          <w:lang w:val="en-US" w:eastAsia="zh-CN"/>
        </w:rPr>
        <w:t>developed</w:t>
      </w:r>
      <w:r>
        <w:rPr>
          <w:rFonts w:ascii="Calibri" w:eastAsia="SimSun" w:hAnsi="Calibri"/>
          <w:lang w:val="en-US" w:eastAsia="zh-CN"/>
        </w:rPr>
        <w:t xml:space="preserve"> an overall architecture for the VDES Service Center as a contribution to the proposed guideline, for further review at DTEC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eastAsia="SimSun" w:hAnsi="Calibri"/>
          <w:lang w:val="en-US" w:eastAsia="zh-CN"/>
        </w:rPr>
        <w:t>4.</w:t>
      </w:r>
    </w:p>
    <w:p w14:paraId="6B83218E" w14:textId="77777777" w:rsidR="001C7DCD" w:rsidRDefault="001C7DCD">
      <w:pPr>
        <w:pStyle w:val="BodyText"/>
        <w:rPr>
          <w:rFonts w:ascii="Calibri" w:eastAsia="SimSun" w:hAnsi="Calibri"/>
          <w:lang w:val="en-US" w:eastAsia="zh-CN"/>
        </w:rPr>
      </w:pPr>
    </w:p>
    <w:p w14:paraId="6B83218F" w14:textId="77777777" w:rsidR="001C7DCD" w:rsidRDefault="003F6405">
      <w:pPr>
        <w:pStyle w:val="Heading1"/>
        <w:rPr>
          <w:rFonts w:eastAsia="SimSun"/>
          <w:lang w:eastAsia="zh-CN"/>
        </w:rPr>
      </w:pPr>
      <w:r>
        <w:lastRenderedPageBreak/>
        <w:t>Discussion</w:t>
      </w:r>
    </w:p>
    <w:p w14:paraId="6B832190" w14:textId="77777777" w:rsidR="001C7DCD" w:rsidRDefault="003F6405">
      <w:pPr>
        <w:pStyle w:val="BodyText"/>
        <w:rPr>
          <w:rFonts w:eastAsia="SimSun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T</w:t>
      </w:r>
      <w:r>
        <w:rPr>
          <w:rFonts w:ascii="Calibri" w:hAnsi="Calibri"/>
        </w:rPr>
        <w:t>his document supplements the content of Chapter 4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eastAsia="SimSun" w:hAnsi="Calibri" w:hint="eastAsia"/>
          <w:lang w:eastAsia="zh-CN"/>
        </w:rPr>
        <w:t>fo</w:t>
      </w:r>
      <w:r>
        <w:rPr>
          <w:rFonts w:ascii="Calibri" w:hAnsi="Calibri"/>
        </w:rPr>
        <w:t>r the new Guideline on VDES Service and Infrastructure</w:t>
      </w:r>
      <w:r>
        <w:rPr>
          <w:rFonts w:ascii="Calibri" w:eastAsia="SimSun" w:hAnsi="Calibri" w:hint="eastAsia"/>
          <w:lang w:val="en-US" w:eastAsia="zh-CN"/>
        </w:rPr>
        <w:t xml:space="preserve">, providing </w:t>
      </w:r>
      <w:r>
        <w:rPr>
          <w:rFonts w:ascii="Calibri" w:hAnsi="Calibri"/>
        </w:rPr>
        <w:t xml:space="preserve">the overall architecture of VDES data </w:t>
      </w:r>
      <w:proofErr w:type="spellStart"/>
      <w:r>
        <w:rPr>
          <w:rFonts w:ascii="Calibri" w:hAnsi="Calibri"/>
        </w:rPr>
        <w:t>center</w:t>
      </w:r>
      <w:proofErr w:type="spellEnd"/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services</w:t>
      </w:r>
      <w:r>
        <w:rPr>
          <w:rFonts w:ascii="Calibri" w:eastAsia="SimSun" w:hAnsi="Calibri" w:hint="eastAsia"/>
          <w:lang w:val="en-US" w:eastAsia="zh-CN"/>
        </w:rPr>
        <w:t xml:space="preserve">  as</w:t>
      </w:r>
      <w:proofErr w:type="gramEnd"/>
      <w:r>
        <w:rPr>
          <w:rFonts w:ascii="Calibri" w:eastAsia="SimSun" w:hAnsi="Calibri" w:hint="eastAsia"/>
          <w:lang w:val="en-US" w:eastAsia="zh-CN"/>
        </w:rPr>
        <w:t xml:space="preserve"> follows:</w:t>
      </w:r>
    </w:p>
    <w:p w14:paraId="6B832191" w14:textId="77777777" w:rsidR="001C7DCD" w:rsidRDefault="003F6405">
      <w:pPr>
        <w:spacing w:after="120"/>
        <w:jc w:val="both"/>
        <w:rPr>
          <w:rFonts w:ascii="Calibri" w:eastAsia="Malgun Gothic" w:hAnsi="Calibri"/>
          <w:lang w:eastAsia="ko-KR"/>
        </w:rPr>
      </w:pPr>
      <w:r>
        <w:rPr>
          <w:rFonts w:ascii="Calibri" w:eastAsia="Malgun Gothic" w:hAnsi="Calibri"/>
          <w:lang w:eastAsia="ko-KR"/>
        </w:rPr>
        <w:t>4.4</w:t>
      </w:r>
      <w:r>
        <w:rPr>
          <w:rFonts w:ascii="Calibri" w:eastAsia="Malgun Gothic" w:hAnsi="Calibri"/>
          <w:lang w:eastAsia="ko-KR"/>
        </w:rPr>
        <w:tab/>
      </w:r>
      <w:r>
        <w:rPr>
          <w:rFonts w:ascii="Calibri" w:eastAsia="SimSun" w:hAnsi="Calibri" w:hint="eastAsia"/>
          <w:lang w:val="en-US" w:eastAsia="zh-CN"/>
        </w:rPr>
        <w:t>VDES</w:t>
      </w:r>
      <w:r>
        <w:rPr>
          <w:rFonts w:ascii="Calibri" w:eastAsia="Malgun Gothic" w:hAnsi="Calibri"/>
          <w:lang w:eastAsia="ko-KR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S</w:t>
      </w:r>
      <w:proofErr w:type="spellStart"/>
      <w:r>
        <w:rPr>
          <w:rFonts w:ascii="Calibri" w:eastAsia="Malgun Gothic" w:hAnsi="Calibri"/>
          <w:lang w:eastAsia="ko-KR"/>
        </w:rPr>
        <w:t>ervice</w:t>
      </w:r>
      <w:proofErr w:type="spellEnd"/>
      <w:r>
        <w:rPr>
          <w:rFonts w:ascii="Calibri" w:eastAsia="Malgun Gothic" w:hAnsi="Calibri"/>
          <w:lang w:eastAsia="ko-KR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C</w:t>
      </w:r>
      <w:r>
        <w:rPr>
          <w:rFonts w:ascii="Calibri" w:eastAsia="Malgun Gothic" w:hAnsi="Calibri"/>
          <w:lang w:eastAsia="ko-KR"/>
        </w:rPr>
        <w:t>enter</w:t>
      </w:r>
    </w:p>
    <w:p w14:paraId="6B832192" w14:textId="77777777" w:rsidR="001C7DCD" w:rsidRDefault="003F6405">
      <w:pPr>
        <w:spacing w:after="120"/>
        <w:jc w:val="both"/>
        <w:rPr>
          <w:rFonts w:ascii="Calibri" w:eastAsia="Malgun Gothic" w:hAnsi="Calibri"/>
          <w:lang w:eastAsia="ko-KR"/>
        </w:rPr>
      </w:pPr>
      <w:r>
        <w:rPr>
          <w:rFonts w:ascii="Calibri" w:eastAsia="Malgun Gothic" w:hAnsi="Calibri"/>
          <w:lang w:eastAsia="ko-KR"/>
        </w:rPr>
        <w:t>4.4.1</w:t>
      </w:r>
      <w:r>
        <w:rPr>
          <w:rFonts w:ascii="Calibri" w:eastAsia="Malgun Gothic" w:hAnsi="Calibri"/>
          <w:lang w:eastAsia="ko-KR"/>
        </w:rPr>
        <w:tab/>
        <w:t>ASM SERVICE</w:t>
      </w:r>
    </w:p>
    <w:p w14:paraId="6B832193" w14:textId="77777777" w:rsidR="001C7DCD" w:rsidRDefault="003F6405">
      <w:pPr>
        <w:spacing w:after="120"/>
        <w:jc w:val="both"/>
        <w:rPr>
          <w:rFonts w:ascii="Calibri" w:eastAsia="Malgun Gothic" w:hAnsi="Calibri"/>
          <w:lang w:eastAsia="ko-KR"/>
        </w:rPr>
      </w:pPr>
      <w:r>
        <w:rPr>
          <w:rFonts w:ascii="Calibri" w:eastAsia="Malgun Gothic" w:hAnsi="Calibri"/>
          <w:lang w:eastAsia="ko-KR"/>
        </w:rPr>
        <w:t>ASM service is divided into the following four categorizes according to its data flow characteristics (refer to Figure 1):</w:t>
      </w:r>
    </w:p>
    <w:p w14:paraId="6B832194" w14:textId="77777777" w:rsidR="001C7DCD" w:rsidRDefault="003F6405">
      <w:pPr>
        <w:spacing w:after="120"/>
        <w:jc w:val="both"/>
        <w:rPr>
          <w:rFonts w:ascii="Calibri" w:eastAsia="Malgun Gothic" w:hAnsi="Calibri"/>
          <w:lang w:eastAsia="ko-KR"/>
        </w:rPr>
      </w:pPr>
      <w:r>
        <w:rPr>
          <w:rFonts w:ascii="Calibri" w:eastAsia="Malgun Gothic" w:hAnsi="Calibri"/>
          <w:lang w:eastAsia="ko-KR"/>
        </w:rPr>
        <w:t xml:space="preserve">a) ASM Service Category 1: Initiated by an external ASM mobile station, where data is transmitted from the external ASM mobile station to the corresponding ASM </w:t>
      </w:r>
      <w:proofErr w:type="gramStart"/>
      <w:r>
        <w:rPr>
          <w:rFonts w:ascii="Calibri" w:eastAsia="Malgun Gothic" w:hAnsi="Calibri"/>
          <w:lang w:eastAsia="ko-KR"/>
        </w:rPr>
        <w:t>service;</w:t>
      </w:r>
      <w:proofErr w:type="gramEnd"/>
    </w:p>
    <w:p w14:paraId="6B832195" w14:textId="77777777" w:rsidR="001C7DCD" w:rsidRDefault="003F6405">
      <w:pPr>
        <w:spacing w:after="120"/>
        <w:jc w:val="both"/>
        <w:rPr>
          <w:rFonts w:ascii="Calibri" w:eastAsia="Malgun Gothic" w:hAnsi="Calibri"/>
          <w:lang w:eastAsia="ko-KR"/>
        </w:rPr>
      </w:pPr>
      <w:r>
        <w:rPr>
          <w:rFonts w:ascii="Calibri" w:eastAsia="Malgun Gothic" w:hAnsi="Calibri"/>
          <w:lang w:eastAsia="ko-KR"/>
        </w:rPr>
        <w:t>b) ASM Service Category 2: Initiated</w:t>
      </w:r>
      <w:r>
        <w:rPr>
          <w:rFonts w:ascii="Calibri" w:eastAsia="SimSun" w:hAnsi="Calibri" w:hint="eastAsia"/>
          <w:lang w:val="en-US" w:eastAsia="zh-CN"/>
        </w:rPr>
        <w:t xml:space="preserve"> by</w:t>
      </w:r>
      <w:r>
        <w:rPr>
          <w:rFonts w:ascii="Calibri" w:eastAsia="Malgun Gothic" w:hAnsi="Calibri"/>
          <w:lang w:eastAsia="ko-KR"/>
        </w:rPr>
        <w:t xml:space="preserve"> </w:t>
      </w:r>
      <w:r>
        <w:rPr>
          <w:rFonts w:ascii="Calibri" w:eastAsia="SimSun" w:hAnsi="Calibri"/>
          <w:color w:val="000000"/>
        </w:rPr>
        <w:t>requesting shore-based technical service</w:t>
      </w:r>
      <w:r>
        <w:rPr>
          <w:rFonts w:ascii="Calibri" w:eastAsia="Malgun Gothic" w:hAnsi="Calibri"/>
          <w:lang w:eastAsia="ko-KR"/>
        </w:rPr>
        <w:t xml:space="preserve"> to the external ASM mobile station upon </w:t>
      </w:r>
      <w:proofErr w:type="gramStart"/>
      <w:r>
        <w:rPr>
          <w:rFonts w:ascii="Calibri" w:eastAsia="Malgun Gothic" w:hAnsi="Calibri"/>
          <w:lang w:eastAsia="ko-KR"/>
        </w:rPr>
        <w:t>request;</w:t>
      </w:r>
      <w:proofErr w:type="gramEnd"/>
    </w:p>
    <w:p w14:paraId="6B832196" w14:textId="77777777" w:rsidR="001C7DCD" w:rsidRDefault="003F6405">
      <w:pPr>
        <w:spacing w:after="120"/>
        <w:jc w:val="both"/>
        <w:rPr>
          <w:rFonts w:ascii="Calibri" w:eastAsia="SimSun" w:hAnsi="Calibri"/>
          <w:lang w:val="en-US" w:eastAsia="zh-CN"/>
        </w:rPr>
      </w:pPr>
      <w:r>
        <w:rPr>
          <w:rFonts w:ascii="Calibri" w:eastAsia="Malgun Gothic" w:hAnsi="Calibri"/>
          <w:lang w:eastAsia="ko-KR"/>
        </w:rPr>
        <w:t xml:space="preserve">c) ASM Service Category 3: </w:t>
      </w:r>
      <w:r>
        <w:rPr>
          <w:rFonts w:ascii="Calibri" w:eastAsia="SimSun" w:hAnsi="Calibri" w:hint="eastAsia"/>
          <w:lang w:val="en-US" w:eastAsia="zh-CN"/>
        </w:rPr>
        <w:t>I</w:t>
      </w:r>
      <w:proofErr w:type="spellStart"/>
      <w:r>
        <w:rPr>
          <w:rFonts w:ascii="Calibri" w:eastAsia="Malgun Gothic" w:hAnsi="Calibri" w:hint="eastAsia"/>
          <w:lang w:eastAsia="ko-KR"/>
        </w:rPr>
        <w:t>nitiated</w:t>
      </w:r>
      <w:proofErr w:type="spellEnd"/>
      <w:r>
        <w:rPr>
          <w:rFonts w:ascii="Calibri" w:eastAsia="Malgun Gothic" w:hAnsi="Calibri" w:hint="eastAsia"/>
          <w:lang w:eastAsia="ko-KR"/>
        </w:rPr>
        <w:t xml:space="preserve"> by </w:t>
      </w:r>
      <w:r>
        <w:rPr>
          <w:rFonts w:ascii="Calibri" w:eastAsia="SimSun" w:hAnsi="Calibri"/>
          <w:color w:val="000000"/>
        </w:rPr>
        <w:t>requesting shore-based technical service</w:t>
      </w:r>
      <w:r>
        <w:rPr>
          <w:rFonts w:ascii="Calibri" w:eastAsia="Malgun Gothic" w:hAnsi="Calibri" w:hint="eastAsia"/>
          <w:lang w:eastAsia="ko-KR"/>
        </w:rPr>
        <w:t xml:space="preserve">. They provide data to external mobile stations </w:t>
      </w:r>
      <w:r>
        <w:rPr>
          <w:rFonts w:ascii="Calibri" w:eastAsia="SimSun" w:hAnsi="Calibri" w:hint="eastAsia"/>
          <w:lang w:val="en-US" w:eastAsia="zh-CN"/>
        </w:rPr>
        <w:t xml:space="preserve">with ASM function </w:t>
      </w:r>
      <w:r>
        <w:rPr>
          <w:rFonts w:ascii="Calibri" w:eastAsia="Malgun Gothic" w:hAnsi="Calibri" w:hint="eastAsia"/>
          <w:lang w:eastAsia="ko-KR"/>
        </w:rPr>
        <w:t xml:space="preserve">for </w:t>
      </w:r>
      <w:r>
        <w:rPr>
          <w:rFonts w:ascii="Calibri" w:eastAsia="SimSun" w:hAnsi="Calibri" w:hint="eastAsia"/>
          <w:lang w:val="en-US" w:eastAsia="zh-CN"/>
        </w:rPr>
        <w:t>the</w:t>
      </w:r>
      <w:r>
        <w:rPr>
          <w:rFonts w:ascii="Calibri" w:eastAsia="Malgun Gothic" w:hAnsi="Calibri" w:hint="eastAsia"/>
          <w:lang w:eastAsia="ko-KR"/>
        </w:rPr>
        <w:t xml:space="preserve"> </w:t>
      </w:r>
      <w:proofErr w:type="spellStart"/>
      <w:r>
        <w:rPr>
          <w:rFonts w:ascii="Calibri" w:eastAsia="Malgun Gothic" w:hAnsi="Calibri" w:hint="eastAsia"/>
          <w:lang w:eastAsia="ko-KR"/>
        </w:rPr>
        <w:t>configur</w:t>
      </w:r>
      <w:r>
        <w:rPr>
          <w:rFonts w:ascii="Calibri" w:eastAsia="SimSun" w:hAnsi="Calibri" w:hint="eastAsia"/>
          <w:lang w:val="en-US" w:eastAsia="zh-CN"/>
        </w:rPr>
        <w:t>ation</w:t>
      </w:r>
      <w:proofErr w:type="spellEnd"/>
      <w:r>
        <w:rPr>
          <w:rFonts w:ascii="Calibri" w:eastAsia="SimSun" w:hAnsi="Calibri" w:hint="eastAsia"/>
          <w:lang w:val="en-US" w:eastAsia="zh-CN"/>
        </w:rPr>
        <w:t xml:space="preserve"> of</w:t>
      </w:r>
      <w:r>
        <w:rPr>
          <w:rFonts w:ascii="Calibri" w:eastAsia="Malgun Gothic" w:hAnsi="Calibri" w:hint="eastAsia"/>
          <w:lang w:eastAsia="ko-KR"/>
        </w:rPr>
        <w:t xml:space="preserve"> external mobile stations</w:t>
      </w:r>
      <w:r>
        <w:rPr>
          <w:rFonts w:ascii="Calibri" w:eastAsia="Malgun Gothic" w:hAnsi="Calibri" w:hint="eastAsia"/>
          <w:lang w:eastAsia="ko-KR"/>
        </w:rPr>
        <w:t>´</w:t>
      </w:r>
      <w:r>
        <w:rPr>
          <w:rFonts w:ascii="Calibri" w:eastAsia="Malgun Gothic" w:hAnsi="Calibri" w:hint="eastAsia"/>
          <w:lang w:eastAsia="ko-KR"/>
        </w:rPr>
        <w:t xml:space="preserve"> behaviour on the VDL</w:t>
      </w:r>
      <w:r>
        <w:rPr>
          <w:rFonts w:ascii="Calibri" w:eastAsia="SimSun" w:hAnsi="Calibri" w:hint="eastAsia"/>
          <w:lang w:val="en-US" w:eastAsia="zh-CN"/>
        </w:rPr>
        <w:t>.</w:t>
      </w:r>
    </w:p>
    <w:p w14:paraId="6B832197" w14:textId="77777777" w:rsidR="001C7DCD" w:rsidRDefault="003F6405">
      <w:pPr>
        <w:spacing w:after="120"/>
        <w:jc w:val="both"/>
        <w:rPr>
          <w:rFonts w:ascii="Calibri" w:eastAsia="Malgun Gothic" w:hAnsi="Calibri"/>
          <w:lang w:eastAsia="ko-KR"/>
        </w:rPr>
      </w:pPr>
      <w:r>
        <w:rPr>
          <w:rFonts w:ascii="Calibri" w:eastAsia="Malgun Gothic" w:hAnsi="Calibri"/>
          <w:lang w:eastAsia="ko-KR"/>
        </w:rPr>
        <w:t xml:space="preserve">d) ASM Service Category 4: </w:t>
      </w:r>
      <w:r>
        <w:rPr>
          <w:rFonts w:ascii="Calibri" w:eastAsia="SimSun" w:hAnsi="Calibri" w:hint="eastAsia"/>
          <w:color w:val="000000"/>
          <w:lang w:val="en-US" w:eastAsia="zh-CN"/>
        </w:rPr>
        <w:t>I</w:t>
      </w:r>
      <w:proofErr w:type="spellStart"/>
      <w:r>
        <w:rPr>
          <w:rFonts w:ascii="Calibri" w:eastAsia="SimSun" w:hAnsi="Calibri"/>
          <w:color w:val="000000"/>
        </w:rPr>
        <w:t>nitiated</w:t>
      </w:r>
      <w:proofErr w:type="spellEnd"/>
      <w:r>
        <w:rPr>
          <w:rFonts w:ascii="Calibri" w:eastAsia="SimSun" w:hAnsi="Calibri"/>
          <w:color w:val="000000"/>
        </w:rPr>
        <w:t xml:space="preserve"> by the requesting shore-based technical service. They provide </w:t>
      </w:r>
      <w:r>
        <w:rPr>
          <w:rFonts w:ascii="Calibri" w:eastAsia="SimSun" w:hAnsi="Calibri" w:hint="eastAsia"/>
          <w:color w:val="000000"/>
          <w:lang w:val="en-US" w:eastAsia="zh-CN"/>
        </w:rPr>
        <w:t xml:space="preserve">integrity information as the basis for the data </w:t>
      </w:r>
      <w:r>
        <w:rPr>
          <w:rFonts w:ascii="Calibri" w:eastAsia="SimSun" w:hAnsi="Calibri"/>
          <w:color w:val="000000"/>
        </w:rPr>
        <w:t xml:space="preserve">already available at the </w:t>
      </w:r>
      <w:r>
        <w:rPr>
          <w:rFonts w:ascii="Calibri" w:eastAsia="SimSun" w:hAnsi="Calibri" w:hint="eastAsia"/>
          <w:color w:val="000000"/>
          <w:lang w:val="en-US" w:eastAsia="zh-CN"/>
        </w:rPr>
        <w:t>ASM</w:t>
      </w:r>
      <w:r>
        <w:rPr>
          <w:rFonts w:ascii="Calibri" w:eastAsia="SimSun" w:hAnsi="Calibri"/>
          <w:color w:val="000000"/>
        </w:rPr>
        <w:t xml:space="preserve"> service.</w:t>
      </w:r>
    </w:p>
    <w:p w14:paraId="6B832198" w14:textId="77777777" w:rsidR="001C7DCD" w:rsidRDefault="003F6405">
      <w:pPr>
        <w:spacing w:after="120"/>
        <w:jc w:val="center"/>
        <w:rPr>
          <w:rFonts w:ascii="Times New Roman"/>
        </w:rPr>
      </w:pPr>
      <w:r>
        <w:rPr>
          <w:rFonts w:ascii="Times New Roman"/>
        </w:rPr>
        <w:object w:dxaOrig="7188" w:dyaOrig="7962" w14:anchorId="6B8321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9.35pt;height:398.15pt" o:ole="">
            <v:imagedata r:id="rId12" o:title="" croptop="3487f" cropbottom="1018f" cropright="1315f"/>
          </v:shape>
          <o:OLEObject Type="Embed" ProgID="Visio.Drawing.15" ShapeID="_x0000_i1025" DrawAspect="Content" ObjectID="_1802865316" r:id="rId13"/>
        </w:object>
      </w:r>
    </w:p>
    <w:p w14:paraId="6B832199" w14:textId="77777777" w:rsidR="001C7DCD" w:rsidRDefault="003F6405">
      <w:pPr>
        <w:spacing w:before="240" w:after="240"/>
        <w:ind w:left="992" w:hanging="992"/>
        <w:jc w:val="center"/>
        <w:rPr>
          <w:bCs/>
          <w:i/>
          <w:color w:val="575756"/>
        </w:rPr>
      </w:pPr>
      <w:r>
        <w:rPr>
          <w:rFonts w:hint="eastAsia"/>
          <w:bCs/>
          <w:i/>
          <w:color w:val="575756"/>
          <w:lang w:val="en-US" w:eastAsia="zh-CN"/>
        </w:rPr>
        <w:t>ASM Service</w:t>
      </w:r>
    </w:p>
    <w:p w14:paraId="6B83219A" w14:textId="77777777" w:rsidR="001C7DCD" w:rsidRDefault="003F6405">
      <w:pPr>
        <w:spacing w:after="120"/>
        <w:jc w:val="both"/>
        <w:rPr>
          <w:rFonts w:ascii="Calibri" w:eastAsia="Malgun Gothic" w:hAnsi="Calibri"/>
          <w:lang w:eastAsia="ko-KR"/>
        </w:rPr>
      </w:pPr>
      <w:r>
        <w:rPr>
          <w:rFonts w:ascii="Calibri" w:eastAsia="Malgun Gothic" w:hAnsi="Calibri"/>
          <w:lang w:eastAsia="ko-KR"/>
        </w:rPr>
        <w:lastRenderedPageBreak/>
        <w:t>4.4.2</w:t>
      </w:r>
      <w:r>
        <w:rPr>
          <w:rFonts w:ascii="Calibri" w:eastAsia="Malgun Gothic" w:hAnsi="Calibri"/>
          <w:lang w:eastAsia="ko-KR"/>
        </w:rPr>
        <w:tab/>
        <w:t>VDE SERVICE</w:t>
      </w:r>
    </w:p>
    <w:p w14:paraId="6B83219B" w14:textId="77777777" w:rsidR="001C7DCD" w:rsidRDefault="003F6405">
      <w:pPr>
        <w:spacing w:after="120"/>
        <w:jc w:val="both"/>
        <w:rPr>
          <w:rFonts w:ascii="Calibri" w:eastAsia="Malgun Gothic" w:hAnsi="Calibri"/>
          <w:lang w:eastAsia="ko-KR"/>
        </w:rPr>
      </w:pPr>
      <w:r>
        <w:rPr>
          <w:rFonts w:ascii="Calibri" w:eastAsia="Malgun Gothic" w:hAnsi="Calibri"/>
          <w:lang w:eastAsia="ko-KR"/>
        </w:rPr>
        <w:t>VDE Service is divided into the following three categories according to its service characteristics (refer to Figure 2):</w:t>
      </w:r>
    </w:p>
    <w:p w14:paraId="6B83219C" w14:textId="77777777" w:rsidR="001C7DCD" w:rsidRDefault="003F6405">
      <w:pPr>
        <w:spacing w:after="120"/>
        <w:jc w:val="both"/>
        <w:rPr>
          <w:rFonts w:ascii="Calibri" w:eastAsia="Malgun Gothic" w:hAnsi="Calibri"/>
          <w:lang w:eastAsia="ko-KR"/>
        </w:rPr>
      </w:pPr>
      <w:r>
        <w:rPr>
          <w:rFonts w:ascii="Calibri" w:eastAsia="Malgun Gothic" w:hAnsi="Calibri"/>
          <w:lang w:eastAsia="ko-KR"/>
        </w:rPr>
        <w:t xml:space="preserve">a) VDE service Category 1: </w:t>
      </w:r>
      <w:r>
        <w:rPr>
          <w:rFonts w:ascii="Calibri" w:eastAsia="Malgun Gothic" w:hAnsi="Calibri" w:hint="eastAsia"/>
          <w:lang w:eastAsia="ko-KR"/>
        </w:rPr>
        <w:t xml:space="preserve">A shore-based service, initiated either by an external mobile station with VDE functionality or by a shore-based technical service, that enables interaction between mobile stations or between mobile stations and shore-based </w:t>
      </w:r>
      <w:proofErr w:type="gramStart"/>
      <w:r>
        <w:rPr>
          <w:rFonts w:ascii="Calibri" w:eastAsia="Malgun Gothic" w:hAnsi="Calibri" w:hint="eastAsia"/>
          <w:lang w:eastAsia="ko-KR"/>
        </w:rPr>
        <w:t>services</w:t>
      </w:r>
      <w:r>
        <w:rPr>
          <w:rFonts w:ascii="Calibri" w:eastAsia="Malgun Gothic" w:hAnsi="Calibri"/>
          <w:lang w:eastAsia="ko-KR"/>
        </w:rPr>
        <w:t>;</w:t>
      </w:r>
      <w:proofErr w:type="gramEnd"/>
    </w:p>
    <w:p w14:paraId="6B83219D" w14:textId="77777777" w:rsidR="001C7DCD" w:rsidRDefault="003F6405">
      <w:pPr>
        <w:spacing w:after="120"/>
        <w:jc w:val="both"/>
        <w:rPr>
          <w:rFonts w:ascii="Calibri" w:eastAsia="Malgun Gothic" w:hAnsi="Calibri"/>
          <w:lang w:eastAsia="ko-KR"/>
        </w:rPr>
      </w:pPr>
      <w:r>
        <w:rPr>
          <w:rFonts w:ascii="Calibri" w:eastAsia="Malgun Gothic" w:hAnsi="Calibri"/>
          <w:lang w:eastAsia="ko-KR"/>
        </w:rPr>
        <w:t xml:space="preserve">b) VDE service Category 2: A shore-based service that configures </w:t>
      </w:r>
      <w:r>
        <w:rPr>
          <w:rFonts w:ascii="Calibri" w:eastAsia="Malgun Gothic" w:hAnsi="Calibri" w:hint="eastAsia"/>
          <w:lang w:eastAsia="ko-KR"/>
        </w:rPr>
        <w:t>external mobile stations</w:t>
      </w:r>
      <w:r>
        <w:rPr>
          <w:rFonts w:ascii="Calibri" w:eastAsia="Malgun Gothic" w:hAnsi="Calibri" w:hint="eastAsia"/>
          <w:lang w:eastAsia="ko-KR"/>
        </w:rPr>
        <w:t>´</w:t>
      </w:r>
      <w:r>
        <w:rPr>
          <w:rFonts w:ascii="Calibri" w:eastAsia="Malgun Gothic" w:hAnsi="Calibri" w:hint="eastAsia"/>
          <w:lang w:eastAsia="ko-KR"/>
        </w:rPr>
        <w:t xml:space="preserve"> behaviour</w:t>
      </w:r>
      <w:r>
        <w:rPr>
          <w:rFonts w:ascii="Calibri" w:eastAsia="Malgun Gothic" w:hAnsi="Calibri"/>
          <w:lang w:eastAsia="ko-KR"/>
        </w:rPr>
        <w:t xml:space="preserve"> of the external VDE mobile station on the </w:t>
      </w:r>
      <w:proofErr w:type="gramStart"/>
      <w:r>
        <w:rPr>
          <w:rFonts w:ascii="Calibri" w:eastAsia="Malgun Gothic" w:hAnsi="Calibri"/>
          <w:lang w:eastAsia="ko-KR"/>
        </w:rPr>
        <w:t>VDL;</w:t>
      </w:r>
      <w:proofErr w:type="gramEnd"/>
    </w:p>
    <w:p w14:paraId="6B83219E" w14:textId="77777777" w:rsidR="001C7DCD" w:rsidRDefault="003F6405">
      <w:pPr>
        <w:spacing w:after="120"/>
        <w:jc w:val="both"/>
        <w:rPr>
          <w:rFonts w:ascii="Calibri" w:eastAsia="Malgun Gothic" w:hAnsi="Calibri"/>
          <w:lang w:eastAsia="ko-KR"/>
        </w:rPr>
      </w:pPr>
      <w:r>
        <w:rPr>
          <w:rFonts w:ascii="Calibri" w:eastAsia="Malgun Gothic" w:hAnsi="Calibri"/>
          <w:lang w:eastAsia="ko-KR"/>
        </w:rPr>
        <w:t xml:space="preserve">c) VDE service: Category </w:t>
      </w:r>
      <w:r>
        <w:rPr>
          <w:rFonts w:ascii="Calibri" w:eastAsia="SimSun" w:hAnsi="Calibri" w:hint="eastAsia"/>
          <w:lang w:val="en-US" w:eastAsia="zh-CN"/>
        </w:rPr>
        <w:t>3</w:t>
      </w:r>
      <w:r>
        <w:rPr>
          <w:rFonts w:ascii="Calibri" w:eastAsia="Malgun Gothic" w:hAnsi="Calibri"/>
          <w:lang w:eastAsia="ko-KR"/>
        </w:rPr>
        <w:t xml:space="preserve">: A shore-based service that </w:t>
      </w:r>
      <w:r>
        <w:rPr>
          <w:rFonts w:ascii="Calibri" w:eastAsia="SimSun" w:hAnsi="Calibri" w:hint="eastAsia"/>
          <w:lang w:val="en-US" w:eastAsia="zh-CN"/>
        </w:rPr>
        <w:t>provides</w:t>
      </w:r>
      <w:r>
        <w:rPr>
          <w:rFonts w:ascii="Calibri" w:eastAsia="Malgun Gothic" w:hAnsi="Calibri"/>
          <w:lang w:eastAsia="ko-KR"/>
        </w:rPr>
        <w:t xml:space="preserve"> AIS VDL, data, and protocol monitoring information upon request.</w:t>
      </w:r>
    </w:p>
    <w:p w14:paraId="6B83219F" w14:textId="77777777" w:rsidR="001C7DCD" w:rsidRDefault="003F6405">
      <w:pPr>
        <w:spacing w:after="120"/>
        <w:jc w:val="center"/>
        <w:rPr>
          <w:rFonts w:ascii="Times New Roman"/>
        </w:rPr>
      </w:pPr>
      <w:r>
        <w:rPr>
          <w:rFonts w:ascii="Times New Roman"/>
        </w:rPr>
        <w:object w:dxaOrig="7188" w:dyaOrig="7974" w14:anchorId="6B8321AA">
          <v:shape id="_x0000_i1026" type="#_x0000_t75" alt="" style="width:359.35pt;height:398.8pt" o:ole="">
            <v:imagedata r:id="rId14" o:title="" croptop="3487f" cropbottom="1018f" cropright="1315f"/>
          </v:shape>
          <o:OLEObject Type="Embed" ProgID="Visio.Drawing.15" ShapeID="_x0000_i1026" DrawAspect="Content" ObjectID="_1802865317" r:id="rId15"/>
        </w:object>
      </w:r>
    </w:p>
    <w:p w14:paraId="6B8321A0" w14:textId="77777777" w:rsidR="001C7DCD" w:rsidRDefault="003F6405">
      <w:pPr>
        <w:spacing w:before="240" w:after="240"/>
        <w:ind w:left="992" w:hanging="992"/>
        <w:jc w:val="center"/>
        <w:rPr>
          <w:bCs/>
          <w:i/>
          <w:color w:val="575756"/>
        </w:rPr>
      </w:pPr>
      <w:r>
        <w:rPr>
          <w:rFonts w:hint="eastAsia"/>
          <w:bCs/>
          <w:i/>
          <w:color w:val="575756"/>
          <w:lang w:val="en-US" w:eastAsia="zh-CN"/>
        </w:rPr>
        <w:t>VDE Service</w:t>
      </w:r>
    </w:p>
    <w:p w14:paraId="6B8321A1" w14:textId="77777777" w:rsidR="001C7DCD" w:rsidRDefault="003F6405">
      <w:pPr>
        <w:pStyle w:val="Heading1"/>
      </w:pPr>
      <w:r>
        <w:rPr>
          <w:rFonts w:hint="eastAsia"/>
          <w:lang w:eastAsia="ko-KR"/>
        </w:rPr>
        <w:t>r</w:t>
      </w:r>
      <w:r>
        <w:t>eferences</w:t>
      </w:r>
    </w:p>
    <w:p w14:paraId="6B8321A2" w14:textId="77777777" w:rsidR="001C7DCD" w:rsidRDefault="003F6405">
      <w:pPr>
        <w:pStyle w:val="References"/>
        <w:numPr>
          <w:ilvl w:val="0"/>
          <w:numId w:val="0"/>
        </w:numPr>
        <w:tabs>
          <w:tab w:val="left" w:pos="0"/>
        </w:tabs>
        <w:spacing w:line="216" w:lineRule="atLeast"/>
        <w:rPr>
          <w:rFonts w:ascii="Calibri" w:hAnsi="Calibri"/>
          <w:i/>
          <w:iCs/>
          <w:szCs w:val="22"/>
          <w:lang w:val="en-US" w:eastAsia="zh-CN"/>
        </w:rPr>
      </w:pPr>
      <w:r>
        <w:rPr>
          <w:rFonts w:ascii="Calibri" w:eastAsia="SimSun" w:hAnsi="Calibri" w:hint="eastAsia"/>
          <w:szCs w:val="22"/>
          <w:lang w:val="en-US" w:eastAsia="zh-CN"/>
        </w:rPr>
        <w:t>[1</w:t>
      </w:r>
      <w:proofErr w:type="gramStart"/>
      <w:r>
        <w:rPr>
          <w:rFonts w:ascii="Calibri" w:eastAsia="SimSun" w:hAnsi="Calibri" w:hint="eastAsia"/>
          <w:szCs w:val="22"/>
          <w:lang w:val="en-US" w:eastAsia="zh-CN"/>
        </w:rPr>
        <w:t xml:space="preserve">]  </w:t>
      </w:r>
      <w:r>
        <w:rPr>
          <w:rFonts w:ascii="Calibri" w:hAnsi="Calibri" w:hint="eastAsia"/>
          <w:szCs w:val="22"/>
          <w:lang w:val="en-US" w:eastAsia="zh-CN"/>
        </w:rPr>
        <w:t>ITU</w:t>
      </w:r>
      <w:proofErr w:type="gramEnd"/>
      <w:r>
        <w:rPr>
          <w:rFonts w:ascii="Calibri" w:hAnsi="Calibri" w:hint="eastAsia"/>
          <w:szCs w:val="22"/>
          <w:lang w:val="en-US" w:eastAsia="zh-CN"/>
        </w:rPr>
        <w:t xml:space="preserve">-R M.2092-1, </w:t>
      </w:r>
      <w:r>
        <w:rPr>
          <w:rFonts w:ascii="Calibri" w:hAnsi="Calibri" w:hint="eastAsia"/>
          <w:i/>
          <w:iCs/>
          <w:szCs w:val="22"/>
          <w:lang w:val="en-US" w:eastAsia="zh-CN"/>
        </w:rPr>
        <w:t>Technical characteristics for a VHF data exchange system in the VHF maritime mobile band, February 2022</w:t>
      </w:r>
    </w:p>
    <w:p w14:paraId="6B8321A3" w14:textId="77777777" w:rsidR="001C7DCD" w:rsidRDefault="003F6405">
      <w:pPr>
        <w:pStyle w:val="References"/>
        <w:numPr>
          <w:ilvl w:val="0"/>
          <w:numId w:val="0"/>
        </w:numPr>
        <w:tabs>
          <w:tab w:val="left" w:pos="0"/>
        </w:tabs>
        <w:spacing w:line="340" w:lineRule="exact"/>
        <w:rPr>
          <w:rFonts w:ascii="Calibri" w:eastAsiaTheme="minorEastAsia" w:hAnsi="Calibri"/>
          <w:szCs w:val="22"/>
          <w:lang w:val="en-US" w:eastAsia="zh-CN"/>
        </w:rPr>
      </w:pPr>
      <w:r>
        <w:rPr>
          <w:rFonts w:ascii="Calibri" w:eastAsia="SimSun" w:hAnsi="Calibri" w:hint="eastAsia"/>
          <w:szCs w:val="22"/>
          <w:lang w:val="en-US" w:eastAsia="zh-CN"/>
        </w:rPr>
        <w:t>[2</w:t>
      </w:r>
      <w:proofErr w:type="gramStart"/>
      <w:r>
        <w:rPr>
          <w:rFonts w:ascii="Calibri" w:eastAsia="SimSun" w:hAnsi="Calibri" w:hint="eastAsia"/>
          <w:szCs w:val="22"/>
          <w:lang w:val="en-US" w:eastAsia="zh-CN"/>
        </w:rPr>
        <w:t xml:space="preserve">]  </w:t>
      </w:r>
      <w:r>
        <w:rPr>
          <w:rFonts w:ascii="Calibri" w:hAnsi="Calibri" w:hint="eastAsia"/>
          <w:szCs w:val="22"/>
          <w:lang w:val="en-US" w:eastAsia="zh-CN"/>
        </w:rPr>
        <w:t>IALA</w:t>
      </w:r>
      <w:proofErr w:type="gramEnd"/>
      <w:r>
        <w:rPr>
          <w:rFonts w:ascii="Calibri" w:hAnsi="Calibri" w:hint="eastAsia"/>
          <w:szCs w:val="22"/>
          <w:lang w:val="en-US" w:eastAsia="zh-CN"/>
        </w:rPr>
        <w:t xml:space="preserve"> G1117, </w:t>
      </w:r>
      <w:r>
        <w:rPr>
          <w:rFonts w:ascii="Calibri" w:hAnsi="Calibri" w:hint="eastAsia"/>
          <w:i/>
          <w:iCs/>
          <w:szCs w:val="22"/>
          <w:lang w:val="en-US" w:eastAsia="zh-CN"/>
        </w:rPr>
        <w:t>VHF Data Exchange System</w:t>
      </w:r>
      <w:r>
        <w:rPr>
          <w:rFonts w:ascii="Calibri" w:hAnsi="Calibri"/>
          <w:i/>
          <w:iCs/>
          <w:szCs w:val="22"/>
          <w:lang w:val="en-US" w:eastAsia="zh-CN"/>
        </w:rPr>
        <w:t xml:space="preserve"> </w:t>
      </w:r>
      <w:r>
        <w:rPr>
          <w:rFonts w:ascii="Calibri" w:hAnsi="Calibri" w:hint="eastAsia"/>
          <w:i/>
          <w:iCs/>
          <w:szCs w:val="22"/>
          <w:lang w:val="en-US" w:eastAsia="zh-CN"/>
        </w:rPr>
        <w:t>(VDES) Overview, December 2022</w:t>
      </w:r>
    </w:p>
    <w:p w14:paraId="6B8321A4" w14:textId="77777777" w:rsidR="001C7DCD" w:rsidRDefault="003F6405">
      <w:pPr>
        <w:pStyle w:val="References"/>
        <w:numPr>
          <w:ilvl w:val="0"/>
          <w:numId w:val="0"/>
        </w:numPr>
        <w:tabs>
          <w:tab w:val="left" w:pos="0"/>
        </w:tabs>
        <w:spacing w:line="340" w:lineRule="exact"/>
        <w:rPr>
          <w:rFonts w:ascii="Calibri" w:eastAsia="Malgun Gothic" w:hAnsi="Calibri"/>
          <w:i/>
          <w:iCs/>
          <w:szCs w:val="22"/>
          <w:lang w:val="en-US" w:eastAsia="ko-KR"/>
        </w:rPr>
      </w:pPr>
      <w:r>
        <w:rPr>
          <w:rFonts w:ascii="Calibri" w:eastAsia="SimSun" w:hAnsi="Calibri" w:hint="eastAsia"/>
          <w:szCs w:val="22"/>
          <w:lang w:val="en-US" w:eastAsia="zh-CN"/>
        </w:rPr>
        <w:t>[3</w:t>
      </w:r>
      <w:proofErr w:type="gramStart"/>
      <w:r>
        <w:rPr>
          <w:rFonts w:ascii="Calibri" w:eastAsia="SimSun" w:hAnsi="Calibri" w:hint="eastAsia"/>
          <w:szCs w:val="22"/>
          <w:lang w:val="en-US" w:eastAsia="zh-CN"/>
        </w:rPr>
        <w:t xml:space="preserve">]  </w:t>
      </w:r>
      <w:r>
        <w:rPr>
          <w:rFonts w:ascii="Calibri" w:eastAsia="Malgun Gothic" w:hAnsi="Calibri" w:hint="eastAsia"/>
          <w:szCs w:val="22"/>
          <w:lang w:val="en-US" w:eastAsia="ko-KR"/>
        </w:rPr>
        <w:t>IALA</w:t>
      </w:r>
      <w:proofErr w:type="gramEnd"/>
      <w:r>
        <w:rPr>
          <w:rFonts w:ascii="Calibri" w:eastAsia="Malgun Gothic" w:hAnsi="Calibri" w:hint="eastAsia"/>
          <w:szCs w:val="22"/>
          <w:lang w:val="en-US" w:eastAsia="ko-KR"/>
        </w:rPr>
        <w:t xml:space="preserve"> R1007, </w:t>
      </w:r>
      <w:r>
        <w:rPr>
          <w:rFonts w:ascii="Calibri" w:eastAsia="Malgun Gothic" w:hAnsi="Calibri"/>
          <w:i/>
          <w:iCs/>
          <w:szCs w:val="22"/>
          <w:lang w:val="en-US" w:eastAsia="ko-KR"/>
        </w:rPr>
        <w:t>The</w:t>
      </w:r>
      <w:r>
        <w:rPr>
          <w:rFonts w:ascii="Calibri" w:eastAsia="Malgun Gothic" w:hAnsi="Calibri" w:hint="eastAsia"/>
          <w:i/>
          <w:iCs/>
          <w:szCs w:val="22"/>
          <w:lang w:val="en-US" w:eastAsia="ko-KR"/>
        </w:rPr>
        <w:t xml:space="preserve"> VHF Data Exchange System</w:t>
      </w:r>
      <w:r>
        <w:rPr>
          <w:rFonts w:ascii="Calibri" w:eastAsia="Malgun Gothic" w:hAnsi="Calibri"/>
          <w:i/>
          <w:iCs/>
          <w:szCs w:val="22"/>
          <w:lang w:val="en-US" w:eastAsia="ko-KR"/>
        </w:rPr>
        <w:t xml:space="preserve"> </w:t>
      </w:r>
      <w:r>
        <w:rPr>
          <w:rFonts w:ascii="Calibri" w:eastAsia="Malgun Gothic" w:hAnsi="Calibri" w:hint="eastAsia"/>
          <w:i/>
          <w:iCs/>
          <w:szCs w:val="22"/>
          <w:lang w:val="en-US" w:eastAsia="ko-KR"/>
        </w:rPr>
        <w:t>(VDES) for Shore Infrastructure, June 2017</w:t>
      </w:r>
    </w:p>
    <w:p w14:paraId="6B8321A5" w14:textId="77777777" w:rsidR="001C7DCD" w:rsidRDefault="003F6405">
      <w:pPr>
        <w:pStyle w:val="BodyText"/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>[</w:t>
      </w:r>
      <w:r>
        <w:rPr>
          <w:rFonts w:ascii="Calibri" w:hAnsi="Calibri"/>
          <w:lang w:val="en-US" w:eastAsia="zh-CN"/>
        </w:rPr>
        <w:t>4</w:t>
      </w:r>
      <w:proofErr w:type="gramStart"/>
      <w:r>
        <w:rPr>
          <w:rFonts w:ascii="Calibri" w:hAnsi="Calibri"/>
          <w:lang w:val="en-US" w:eastAsia="zh-CN"/>
        </w:rPr>
        <w:t>]  IALA</w:t>
      </w:r>
      <w:proofErr w:type="gramEnd"/>
      <w:r>
        <w:rPr>
          <w:rFonts w:ascii="Calibri" w:hAnsi="Calibri" w:hint="eastAsia"/>
          <w:lang w:val="en-US" w:eastAsia="zh-CN"/>
        </w:rPr>
        <w:t xml:space="preserve"> </w:t>
      </w:r>
      <w:r>
        <w:rPr>
          <w:rFonts w:ascii="Calibri" w:hAnsi="Calibri"/>
          <w:lang w:val="en-US" w:eastAsia="zh-CN"/>
        </w:rPr>
        <w:t xml:space="preserve">R0124 Ed2.2, </w:t>
      </w:r>
      <w:r>
        <w:rPr>
          <w:rFonts w:ascii="Calibri" w:hAnsi="Calibri"/>
          <w:i/>
          <w:iCs/>
          <w:lang w:val="en-US" w:eastAsia="zh-CN"/>
        </w:rPr>
        <w:t>The AIS Service, December 2012</w:t>
      </w:r>
    </w:p>
    <w:p w14:paraId="6B8321A6" w14:textId="77777777" w:rsidR="001C7DCD" w:rsidRDefault="003F6405">
      <w:pPr>
        <w:pStyle w:val="Heading1"/>
      </w:pPr>
      <w:r>
        <w:lastRenderedPageBreak/>
        <w:t>Action requested of the Committee</w:t>
      </w:r>
    </w:p>
    <w:p w14:paraId="6B8321A7" w14:textId="77777777" w:rsidR="001C7DCD" w:rsidRDefault="003F6405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hAnsi="Calibri" w:cs="Times New Roman" w:hint="eastAsia"/>
          <w:lang w:val="en-US" w:eastAsia="ko-KR"/>
        </w:rPr>
        <w:t>T</w:t>
      </w:r>
      <w:r>
        <w:rPr>
          <w:rFonts w:ascii="Calibri" w:hAnsi="Calibri" w:cs="Times New Roman"/>
          <w:lang w:val="en-US" w:eastAsia="zh-CN"/>
        </w:rPr>
        <w:t xml:space="preserve">he Committee is requested to consider </w:t>
      </w:r>
      <w:r>
        <w:rPr>
          <w:rFonts w:ascii="Calibri" w:eastAsia="SimSun" w:hAnsi="Calibri" w:hint="eastAsia"/>
          <w:lang w:val="en-US" w:eastAsia="zh-CN"/>
        </w:rPr>
        <w:t xml:space="preserve">the proposal in this </w:t>
      </w:r>
      <w:proofErr w:type="gramStart"/>
      <w:r>
        <w:rPr>
          <w:rFonts w:ascii="Calibri" w:eastAsia="SimSun" w:hAnsi="Calibri" w:hint="eastAsia"/>
          <w:lang w:val="en-US" w:eastAsia="zh-CN"/>
        </w:rPr>
        <w:t>document</w:t>
      </w:r>
      <w:r>
        <w:rPr>
          <w:rFonts w:ascii="Calibri" w:eastAsia="SimSun" w:hAnsi="Calibri"/>
          <w:lang w:val="en-US" w:eastAsia="zh-CN"/>
        </w:rPr>
        <w:t xml:space="preserve">, </w:t>
      </w:r>
      <w:r>
        <w:rPr>
          <w:rFonts w:ascii="Calibri" w:eastAsia="SimSun" w:hAnsi="Calibri" w:hint="eastAsia"/>
          <w:lang w:val="en-US" w:eastAsia="zh-CN"/>
        </w:rPr>
        <w:t>and</w:t>
      </w:r>
      <w:proofErr w:type="gramEnd"/>
      <w:r>
        <w:rPr>
          <w:rFonts w:ascii="Calibri" w:eastAsia="SimSun" w:hAnsi="Calibri" w:hint="eastAsia"/>
          <w:lang w:val="en-US" w:eastAsia="zh-CN"/>
        </w:rPr>
        <w:t xml:space="preserve"> take actions as appropriate.</w:t>
      </w:r>
    </w:p>
    <w:p w14:paraId="6B8321A8" w14:textId="77777777" w:rsidR="001C7DCD" w:rsidRDefault="001C7DCD">
      <w:pPr>
        <w:pStyle w:val="List1"/>
        <w:numPr>
          <w:ilvl w:val="0"/>
          <w:numId w:val="0"/>
        </w:numPr>
        <w:rPr>
          <w:rFonts w:ascii="Calibri" w:eastAsia="SimSun" w:hAnsi="Calibri"/>
          <w:b/>
          <w:bCs/>
          <w:lang w:eastAsia="zh-CN"/>
        </w:rPr>
      </w:pPr>
    </w:p>
    <w:sectPr w:rsidR="001C7DCD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321B5" w14:textId="77777777" w:rsidR="003F6405" w:rsidRDefault="003F6405">
      <w:r>
        <w:separator/>
      </w:r>
    </w:p>
  </w:endnote>
  <w:endnote w:type="continuationSeparator" w:id="0">
    <w:p w14:paraId="6B8321B7" w14:textId="77777777" w:rsidR="003F6405" w:rsidRDefault="003F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321AD" w14:textId="77777777" w:rsidR="001C7DCD" w:rsidRDefault="003F6405">
    <w:pPr>
      <w:pStyle w:val="Footer"/>
      <w:rPr>
        <w:rFonts w:ascii="Calibri" w:hAnsi="Calibri"/>
      </w:rPr>
    </w:pPr>
    <w:r>
      <w:rPr>
        <w:rFonts w:ascii="Calibri" w:hAnsi="Calibri"/>
      </w:rPr>
      <w:t>Proposal on Supplementing the Content of the New Guideline for VDES Service and Infrastructure</w:t>
    </w: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  \* MERGEFORMAT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5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321B1" w14:textId="77777777" w:rsidR="003F6405" w:rsidRDefault="003F6405">
      <w:r>
        <w:separator/>
      </w:r>
    </w:p>
  </w:footnote>
  <w:footnote w:type="continuationSeparator" w:id="0">
    <w:p w14:paraId="6B8321B3" w14:textId="77777777" w:rsidR="003F6405" w:rsidRDefault="003F6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321AB" w14:textId="77777777" w:rsidR="001C7DCD" w:rsidRDefault="003000AD">
    <w:pPr>
      <w:pStyle w:val="Header"/>
    </w:pPr>
    <w:r>
      <w:pict w14:anchorId="6B8321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5168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Arial&quot;;font-size:1pt" fitpath="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321AC" w14:textId="77777777" w:rsidR="001C7DCD" w:rsidRDefault="003F6405">
    <w:pPr>
      <w:pStyle w:val="Header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B8321B2" wp14:editId="6B8321B3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00AD">
      <w:pict w14:anchorId="6B8321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4144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Arial&quot;;font-size:1pt" fitpath="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321AE" w14:textId="77777777" w:rsidR="001C7DCD" w:rsidRDefault="003F6405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8321B5" wp14:editId="6B8321B6">
          <wp:simplePos x="0" y="0"/>
          <wp:positionH relativeFrom="column">
            <wp:posOffset>2522855</wp:posOffset>
          </wp:positionH>
          <wp:positionV relativeFrom="paragraph">
            <wp:posOffset>-405130</wp:posOffset>
          </wp:positionV>
          <wp:extent cx="852805" cy="8312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8321AF" w14:textId="77777777" w:rsidR="001C7DCD" w:rsidRDefault="001C7DCD">
    <w:pPr>
      <w:pStyle w:val="Header"/>
      <w:jc w:val="center"/>
    </w:pPr>
  </w:p>
  <w:p w14:paraId="6B8321B0" w14:textId="77777777" w:rsidR="001C7DCD" w:rsidRDefault="003000AD">
    <w:pPr>
      <w:pStyle w:val="Header"/>
      <w:jc w:val="center"/>
    </w:pPr>
    <w:r>
      <w:pict w14:anchorId="6B8321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619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Arial&quot;;font-size:1pt" fitpath="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5D10C9E"/>
    <w:multiLevelType w:val="multilevel"/>
    <w:tmpl w:val="A5D10C9E"/>
    <w:lvl w:ilvl="0">
      <w:start w:val="1"/>
      <w:numFmt w:val="decimal"/>
      <w:pStyle w:val="Figurecaption"/>
      <w:suff w:val="space"/>
      <w:lvlText w:val="Figure %1"/>
      <w:lvlJc w:val="left"/>
      <w:pPr>
        <w:ind w:left="992" w:hanging="992"/>
      </w:pPr>
      <w:rPr>
        <w:rFonts w:ascii="Calibri" w:hAnsi="Calibr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A21C71"/>
    <w:multiLevelType w:val="multilevel"/>
    <w:tmpl w:val="03A21C71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C37E91"/>
    <w:multiLevelType w:val="multilevel"/>
    <w:tmpl w:val="19C37E91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1E7E01D9"/>
    <w:lvl w:ilvl="0">
      <w:start w:val="1"/>
      <w:numFmt w:val="decimal"/>
      <w:pStyle w:val="References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06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7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 w15:restartNumberingAfterBreak="0">
    <w:nsid w:val="60585238"/>
    <w:multiLevelType w:val="multilevel"/>
    <w:tmpl w:val="60585238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413503954">
    <w:abstractNumId w:val="3"/>
  </w:num>
  <w:num w:numId="2" w16cid:durableId="407848042">
    <w:abstractNumId w:val="13"/>
  </w:num>
  <w:num w:numId="3" w16cid:durableId="1192455456">
    <w:abstractNumId w:val="9"/>
  </w:num>
  <w:num w:numId="4" w16cid:durableId="937565656">
    <w:abstractNumId w:val="2"/>
  </w:num>
  <w:num w:numId="5" w16cid:durableId="2036076480">
    <w:abstractNumId w:val="15"/>
  </w:num>
  <w:num w:numId="6" w16cid:durableId="1585072060">
    <w:abstractNumId w:val="11"/>
  </w:num>
  <w:num w:numId="7" w16cid:durableId="526522501">
    <w:abstractNumId w:val="10"/>
  </w:num>
  <w:num w:numId="8" w16cid:durableId="572396559">
    <w:abstractNumId w:val="8"/>
  </w:num>
  <w:num w:numId="9" w16cid:durableId="1879396915">
    <w:abstractNumId w:val="14"/>
  </w:num>
  <w:num w:numId="10" w16cid:durableId="1376930845">
    <w:abstractNumId w:val="7"/>
  </w:num>
  <w:num w:numId="11" w16cid:durableId="114254806">
    <w:abstractNumId w:val="12"/>
  </w:num>
  <w:num w:numId="12" w16cid:durableId="1915242755">
    <w:abstractNumId w:val="4"/>
  </w:num>
  <w:num w:numId="13" w16cid:durableId="1920404076">
    <w:abstractNumId w:val="5"/>
  </w:num>
  <w:num w:numId="14" w16cid:durableId="2038047201">
    <w:abstractNumId w:val="6"/>
  </w:num>
  <w:num w:numId="15" w16cid:durableId="750321974">
    <w:abstractNumId w:val="1"/>
  </w:num>
  <w:num w:numId="16" w16cid:durableId="1695840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bordersDoNotSurroundHeader/>
  <w:bordersDoNotSurroundFooter/>
  <w:proofState w:spelling="clean" w:grammar="clean"/>
  <w:defaultTabStop w:val="720"/>
  <w:hyphenationZone w:val="425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IwMzcxMzS3tDAyNTJW0lEKTi0uzszPAykwqgUAMSBjViwAAAA="/>
  </w:docVars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0C7205"/>
    <w:rsid w:val="000F51C0"/>
    <w:rsid w:val="00110AE7"/>
    <w:rsid w:val="00113DFB"/>
    <w:rsid w:val="00120B4B"/>
    <w:rsid w:val="0012299C"/>
    <w:rsid w:val="00151171"/>
    <w:rsid w:val="00160ECA"/>
    <w:rsid w:val="00177F4D"/>
    <w:rsid w:val="00180DDA"/>
    <w:rsid w:val="00181631"/>
    <w:rsid w:val="001B2A2D"/>
    <w:rsid w:val="001B55E3"/>
    <w:rsid w:val="001B737D"/>
    <w:rsid w:val="001C44A3"/>
    <w:rsid w:val="001C7DCD"/>
    <w:rsid w:val="001E0E15"/>
    <w:rsid w:val="001F528A"/>
    <w:rsid w:val="001F704E"/>
    <w:rsid w:val="00201722"/>
    <w:rsid w:val="002125B0"/>
    <w:rsid w:val="00243228"/>
    <w:rsid w:val="00251483"/>
    <w:rsid w:val="00255CAA"/>
    <w:rsid w:val="00262817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3DEB"/>
    <w:rsid w:val="003000AD"/>
    <w:rsid w:val="0030502D"/>
    <w:rsid w:val="003216C3"/>
    <w:rsid w:val="003252DB"/>
    <w:rsid w:val="00336796"/>
    <w:rsid w:val="00356CD0"/>
    <w:rsid w:val="00360509"/>
    <w:rsid w:val="00360B3D"/>
    <w:rsid w:val="00362CD9"/>
    <w:rsid w:val="003671DB"/>
    <w:rsid w:val="00371694"/>
    <w:rsid w:val="003761CA"/>
    <w:rsid w:val="00380DAF"/>
    <w:rsid w:val="0038367F"/>
    <w:rsid w:val="003972CE"/>
    <w:rsid w:val="003A16EA"/>
    <w:rsid w:val="003A1E9F"/>
    <w:rsid w:val="003B28F5"/>
    <w:rsid w:val="003B7B7D"/>
    <w:rsid w:val="003C54CB"/>
    <w:rsid w:val="003C7A2A"/>
    <w:rsid w:val="003D2DC1"/>
    <w:rsid w:val="003D69D0"/>
    <w:rsid w:val="003F2918"/>
    <w:rsid w:val="003F430E"/>
    <w:rsid w:val="003F6405"/>
    <w:rsid w:val="0041088C"/>
    <w:rsid w:val="00412DD0"/>
    <w:rsid w:val="00420A38"/>
    <w:rsid w:val="00431B19"/>
    <w:rsid w:val="00461A14"/>
    <w:rsid w:val="004661AD"/>
    <w:rsid w:val="004A6C1D"/>
    <w:rsid w:val="004D1D85"/>
    <w:rsid w:val="004D3C3A"/>
    <w:rsid w:val="004E1CD1"/>
    <w:rsid w:val="004F7EFC"/>
    <w:rsid w:val="005107EB"/>
    <w:rsid w:val="00511277"/>
    <w:rsid w:val="00521345"/>
    <w:rsid w:val="00526DF0"/>
    <w:rsid w:val="0053675A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D5136"/>
    <w:rsid w:val="005E262D"/>
    <w:rsid w:val="005F23D3"/>
    <w:rsid w:val="005F7E20"/>
    <w:rsid w:val="006039DD"/>
    <w:rsid w:val="00605E43"/>
    <w:rsid w:val="006153BB"/>
    <w:rsid w:val="006652C3"/>
    <w:rsid w:val="00670F10"/>
    <w:rsid w:val="00691FD0"/>
    <w:rsid w:val="00692148"/>
    <w:rsid w:val="006A1A1E"/>
    <w:rsid w:val="006B270A"/>
    <w:rsid w:val="006C5948"/>
    <w:rsid w:val="006D3734"/>
    <w:rsid w:val="006F2A74"/>
    <w:rsid w:val="007000D4"/>
    <w:rsid w:val="007118F5"/>
    <w:rsid w:val="00712AA4"/>
    <w:rsid w:val="007146C4"/>
    <w:rsid w:val="00721AA1"/>
    <w:rsid w:val="00723902"/>
    <w:rsid w:val="00724B67"/>
    <w:rsid w:val="00746732"/>
    <w:rsid w:val="007547F8"/>
    <w:rsid w:val="00765622"/>
    <w:rsid w:val="00770B6C"/>
    <w:rsid w:val="00783FEA"/>
    <w:rsid w:val="00793935"/>
    <w:rsid w:val="00794FAF"/>
    <w:rsid w:val="007A395D"/>
    <w:rsid w:val="007B28DE"/>
    <w:rsid w:val="007B6BD5"/>
    <w:rsid w:val="007B7321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7057D"/>
    <w:rsid w:val="008A356F"/>
    <w:rsid w:val="008A4653"/>
    <w:rsid w:val="008A4717"/>
    <w:rsid w:val="008A50CC"/>
    <w:rsid w:val="008B3040"/>
    <w:rsid w:val="008B7E06"/>
    <w:rsid w:val="008C574F"/>
    <w:rsid w:val="008D1694"/>
    <w:rsid w:val="008D6C1F"/>
    <w:rsid w:val="008D79CB"/>
    <w:rsid w:val="008F07BC"/>
    <w:rsid w:val="0091760D"/>
    <w:rsid w:val="0092692B"/>
    <w:rsid w:val="00930561"/>
    <w:rsid w:val="0094191E"/>
    <w:rsid w:val="00943E9C"/>
    <w:rsid w:val="00953F4D"/>
    <w:rsid w:val="00954A5D"/>
    <w:rsid w:val="00960BB8"/>
    <w:rsid w:val="00964F5C"/>
    <w:rsid w:val="00973B57"/>
    <w:rsid w:val="00975353"/>
    <w:rsid w:val="00975900"/>
    <w:rsid w:val="00982AFB"/>
    <w:rsid w:val="009831C0"/>
    <w:rsid w:val="0099161D"/>
    <w:rsid w:val="009E69D8"/>
    <w:rsid w:val="00A0389B"/>
    <w:rsid w:val="00A33A3C"/>
    <w:rsid w:val="00A446C9"/>
    <w:rsid w:val="00A611F3"/>
    <w:rsid w:val="00A635D6"/>
    <w:rsid w:val="00A80909"/>
    <w:rsid w:val="00A8553A"/>
    <w:rsid w:val="00A93AED"/>
    <w:rsid w:val="00AE1319"/>
    <w:rsid w:val="00AE34BB"/>
    <w:rsid w:val="00B226F2"/>
    <w:rsid w:val="00B25684"/>
    <w:rsid w:val="00B274DF"/>
    <w:rsid w:val="00B55D43"/>
    <w:rsid w:val="00B56BDF"/>
    <w:rsid w:val="00B61923"/>
    <w:rsid w:val="00B65812"/>
    <w:rsid w:val="00B74A8E"/>
    <w:rsid w:val="00B766DC"/>
    <w:rsid w:val="00B85CD6"/>
    <w:rsid w:val="00B90A27"/>
    <w:rsid w:val="00B9554D"/>
    <w:rsid w:val="00BA5F3E"/>
    <w:rsid w:val="00BB2B9F"/>
    <w:rsid w:val="00BB7D9E"/>
    <w:rsid w:val="00BC2334"/>
    <w:rsid w:val="00BC52B5"/>
    <w:rsid w:val="00BD3CB8"/>
    <w:rsid w:val="00BD4E6F"/>
    <w:rsid w:val="00BD79FF"/>
    <w:rsid w:val="00BF32F0"/>
    <w:rsid w:val="00BF4DCE"/>
    <w:rsid w:val="00C05CE5"/>
    <w:rsid w:val="00C2524F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44D0D"/>
    <w:rsid w:val="00D467B2"/>
    <w:rsid w:val="00D55207"/>
    <w:rsid w:val="00D6328C"/>
    <w:rsid w:val="00D64BEC"/>
    <w:rsid w:val="00D7249C"/>
    <w:rsid w:val="00D81303"/>
    <w:rsid w:val="00D81801"/>
    <w:rsid w:val="00D85F35"/>
    <w:rsid w:val="00D92B45"/>
    <w:rsid w:val="00D95962"/>
    <w:rsid w:val="00DA1AED"/>
    <w:rsid w:val="00DC389B"/>
    <w:rsid w:val="00DC65A8"/>
    <w:rsid w:val="00DC7BFC"/>
    <w:rsid w:val="00DD0ADC"/>
    <w:rsid w:val="00DE2FEE"/>
    <w:rsid w:val="00DF1467"/>
    <w:rsid w:val="00DF25EC"/>
    <w:rsid w:val="00DF2DF0"/>
    <w:rsid w:val="00E00BE9"/>
    <w:rsid w:val="00E02B2E"/>
    <w:rsid w:val="00E22A11"/>
    <w:rsid w:val="00E271F8"/>
    <w:rsid w:val="00E31E5C"/>
    <w:rsid w:val="00E3729D"/>
    <w:rsid w:val="00E44DD2"/>
    <w:rsid w:val="00E558C3"/>
    <w:rsid w:val="00E55927"/>
    <w:rsid w:val="00E5667F"/>
    <w:rsid w:val="00E60540"/>
    <w:rsid w:val="00E77122"/>
    <w:rsid w:val="00E912A6"/>
    <w:rsid w:val="00EA4844"/>
    <w:rsid w:val="00EA4D9C"/>
    <w:rsid w:val="00EA5A97"/>
    <w:rsid w:val="00EB2248"/>
    <w:rsid w:val="00EB71B2"/>
    <w:rsid w:val="00EB75EE"/>
    <w:rsid w:val="00ED7E4A"/>
    <w:rsid w:val="00EE3CC5"/>
    <w:rsid w:val="00EE4C1D"/>
    <w:rsid w:val="00EF3685"/>
    <w:rsid w:val="00F04350"/>
    <w:rsid w:val="00F12B0D"/>
    <w:rsid w:val="00F133DB"/>
    <w:rsid w:val="00F159EB"/>
    <w:rsid w:val="00F25BF4"/>
    <w:rsid w:val="00F267DB"/>
    <w:rsid w:val="00F30AAF"/>
    <w:rsid w:val="00F46F6F"/>
    <w:rsid w:val="00F60608"/>
    <w:rsid w:val="00F62217"/>
    <w:rsid w:val="00F973EE"/>
    <w:rsid w:val="00FB17A9"/>
    <w:rsid w:val="00FB527C"/>
    <w:rsid w:val="00FB6F75"/>
    <w:rsid w:val="00FB71C2"/>
    <w:rsid w:val="00FC0EB3"/>
    <w:rsid w:val="00FD675E"/>
    <w:rsid w:val="00FE5674"/>
    <w:rsid w:val="283C3694"/>
    <w:rsid w:val="32051C94"/>
    <w:rsid w:val="4D4623D8"/>
    <w:rsid w:val="5DDB1129"/>
    <w:rsid w:val="5FDE5B37"/>
    <w:rsid w:val="699F6B16"/>
    <w:rsid w:val="6CC15523"/>
    <w:rsid w:val="6FF00C08"/>
    <w:rsid w:val="72BD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."/>
  <w:listSeparator w:val=","/>
  <w14:docId w14:val="6B832177"/>
  <w15:docId w15:val="{F4978FB7-588D-4057-A12B-27D497506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Batang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pPr>
      <w:numPr>
        <w:ilvl w:val="1"/>
        <w:numId w:val="1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/>
      <w:jc w:val="both"/>
    </w:pPr>
  </w:style>
  <w:style w:type="paragraph" w:styleId="BodyTextIndent">
    <w:name w:val="Body Text Indent"/>
    <w:basedOn w:val="Normal"/>
    <w:link w:val="BodyTextIndentChar"/>
    <w:qFormat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autoRedefine/>
    <w:semiHidden/>
    <w:qFormat/>
    <w:pPr>
      <w:ind w:left="1200"/>
    </w:pPr>
    <w:rPr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rFonts w:asciiTheme="majorHAnsi" w:eastAsia="SimHei" w:hAnsiTheme="majorHAnsi" w:cstheme="majorBidi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TOC5">
    <w:name w:val="toc 5"/>
    <w:basedOn w:val="Normal"/>
    <w:next w:val="Normal"/>
    <w:autoRedefine/>
    <w:semiHidden/>
    <w:qFormat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3">
    <w:name w:val="toc 3"/>
    <w:basedOn w:val="Normal"/>
    <w:next w:val="Normal"/>
    <w:uiPriority w:val="39"/>
    <w:qFormat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semiHidden/>
    <w:qFormat/>
    <w:pPr>
      <w:ind w:left="144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qFormat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qFormat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uiPriority w:val="39"/>
    <w:qFormat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4">
    <w:name w:val="toc 4"/>
    <w:basedOn w:val="Normal"/>
    <w:next w:val="Normal"/>
    <w:uiPriority w:val="39"/>
    <w:qFormat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rFonts w:cs="Arial"/>
    </w:rPr>
  </w:style>
  <w:style w:type="paragraph" w:styleId="FootnoteText">
    <w:name w:val="footnote text"/>
    <w:basedOn w:val="Normal"/>
    <w:link w:val="FootnoteTextChar"/>
    <w:semiHidden/>
    <w:qFormat/>
    <w:rPr>
      <w:sz w:val="20"/>
      <w:szCs w:val="20"/>
    </w:rPr>
  </w:style>
  <w:style w:type="paragraph" w:styleId="TOC6">
    <w:name w:val="toc 6"/>
    <w:basedOn w:val="Normal"/>
    <w:next w:val="Normal"/>
    <w:autoRedefine/>
    <w:semiHidden/>
    <w:qFormat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TOC2">
    <w:name w:val="toc 2"/>
    <w:basedOn w:val="Normal"/>
    <w:next w:val="Normal"/>
    <w:uiPriority w:val="39"/>
    <w:qFormat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9">
    <w:name w:val="toc 9"/>
    <w:basedOn w:val="Normal"/>
    <w:next w:val="Normal"/>
    <w:autoRedefine/>
    <w:semiHidden/>
    <w:qFormat/>
    <w:pPr>
      <w:ind w:left="1680"/>
    </w:pPr>
    <w:rPr>
      <w:sz w:val="20"/>
      <w:szCs w:val="20"/>
    </w:rPr>
  </w:style>
  <w:style w:type="paragraph" w:styleId="Title">
    <w:name w:val="Title"/>
    <w:basedOn w:val="Normal"/>
    <w:link w:val="TitleChar"/>
    <w:qFormat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qFormat/>
    <w:rPr>
      <w:vertAlign w:val="baseli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FootnoteReference">
    <w:name w:val="footnote reference"/>
    <w:semiHidden/>
    <w:qFormat/>
    <w:rPr>
      <w:rFonts w:ascii="Arial" w:hAnsi="Arial"/>
      <w:sz w:val="16"/>
    </w:rPr>
  </w:style>
  <w:style w:type="character" w:customStyle="1" w:styleId="Heading1Char">
    <w:name w:val="Heading 1 Char"/>
    <w:link w:val="Heading1"/>
    <w:qFormat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qFormat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pPr>
      <w:numPr>
        <w:numId w:val="2"/>
      </w:numPr>
      <w:tabs>
        <w:tab w:val="left" w:pos="360"/>
        <w:tab w:val="left" w:pos="1701"/>
      </w:tabs>
      <w:ind w:left="567" w:hanging="567"/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link w:val="BodyText"/>
    <w:qFormat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qFormat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qFormat/>
    <w:pPr>
      <w:numPr>
        <w:numId w:val="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qFormat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pPr>
      <w:numPr>
        <w:numId w:val="9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link w:val="Footer"/>
    <w:qFormat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qFormat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qFormat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qFormat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qFormat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qFormat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qFormat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qFormat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qFormat/>
    <w:rPr>
      <w:rFonts w:ascii="Arial" w:hAnsi="Arial" w:cs="Calibri"/>
      <w:sz w:val="22"/>
      <w:lang w:val="de-DE" w:eastAsia="de-DE"/>
    </w:rPr>
  </w:style>
  <w:style w:type="paragraph" w:customStyle="1" w:styleId="List1">
    <w:name w:val="List 1"/>
    <w:basedOn w:val="Normal"/>
    <w:qFormat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qFormat/>
    <w:pPr>
      <w:numPr>
        <w:numId w:val="11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link w:val="FootnoteText"/>
    <w:semiHidden/>
    <w:qFormat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qFormat/>
    <w:rPr>
      <w:rFonts w:ascii="Arial" w:hAnsi="Arial" w:cs="Arial"/>
      <w:szCs w:val="24"/>
    </w:rPr>
  </w:style>
  <w:style w:type="character" w:customStyle="1" w:styleId="TitleChar">
    <w:name w:val="Title Char"/>
    <w:link w:val="Title"/>
    <w:qFormat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numPr>
        <w:numId w:val="12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qFormat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Arial" w:hAnsi="Arial" w:cs="Calibri"/>
      <w:b/>
      <w:bCs/>
    </w:rPr>
  </w:style>
  <w:style w:type="paragraph" w:customStyle="1" w:styleId="Figurecaption">
    <w:name w:val="Figure caption"/>
    <w:basedOn w:val="Caption"/>
    <w:next w:val="BodyText"/>
    <w:qFormat/>
    <w:pPr>
      <w:numPr>
        <w:numId w:val="16"/>
      </w:numPr>
      <w:tabs>
        <w:tab w:val="left" w:pos="567"/>
      </w:tabs>
      <w:spacing w:before="240" w:after="240" w:line="216" w:lineRule="atLeast"/>
      <w:ind w:left="567" w:hanging="567"/>
      <w:jc w:val="center"/>
    </w:pPr>
    <w:rPr>
      <w:rFonts w:asciiTheme="minorHAnsi" w:eastAsiaTheme="minorHAnsi" w:hAnsiTheme="minorHAnsi" w:cstheme="minorBidi"/>
      <w:bCs/>
      <w:i/>
      <w:color w:val="575756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Normal"/>
    <w:qFormat/>
    <w:pPr>
      <w:numPr>
        <w:numId w:val="0"/>
      </w:numPr>
      <w:spacing w:after="120"/>
      <w:ind w:left="1247" w:hanging="1247"/>
    </w:pPr>
    <w:rPr>
      <w:rFonts w:asciiTheme="minorHAnsi" w:eastAsia="Calibri" w:hAnsiTheme="minorHAnsi" w:cs="Arial"/>
      <w:bCs/>
      <w:caps/>
      <w:color w:val="00558C"/>
      <w:lang w:eastAsia="en-GB"/>
    </w:rPr>
  </w:style>
  <w:style w:type="paragraph" w:customStyle="1" w:styleId="AppendixHead3">
    <w:name w:val="Appendix Head 3"/>
    <w:basedOn w:val="Normal"/>
    <w:next w:val="BodyText"/>
    <w:qFormat/>
    <w:pPr>
      <w:spacing w:before="120" w:after="120"/>
      <w:ind w:left="1588" w:hanging="1588"/>
    </w:pPr>
    <w:rPr>
      <w:rFonts w:asciiTheme="minorHAnsi" w:eastAsia="Calibri" w:hAnsiTheme="minorHAnsi" w:cs="Arial"/>
      <w:b/>
      <w:smallCaps/>
      <w:color w:val="00558C"/>
      <w:sz w:val="24"/>
    </w:rPr>
  </w:style>
  <w:style w:type="paragraph" w:customStyle="1" w:styleId="AppendixHead4">
    <w:name w:val="Appendix Head 4"/>
    <w:basedOn w:val="AppendixHead3"/>
    <w:next w:val="BodyText"/>
    <w:qFormat/>
    <w:pPr>
      <w:ind w:left="1758" w:hanging="1758"/>
    </w:pPr>
    <w:rPr>
      <w:smallCaps w:val="0"/>
      <w:sz w:val="22"/>
    </w:rPr>
  </w:style>
  <w:style w:type="paragraph" w:customStyle="1" w:styleId="AppendixHead1">
    <w:name w:val="Appendix Head 1"/>
    <w:basedOn w:val="Normal"/>
    <w:next w:val="Normal"/>
    <w:qFormat/>
    <w:pPr>
      <w:spacing w:before="120" w:after="120"/>
      <w:ind w:left="907" w:hanging="907"/>
    </w:pPr>
    <w:rPr>
      <w:rFonts w:asciiTheme="minorHAnsi" w:eastAsia="Calibri" w:hAnsiTheme="minorHAnsi" w:cs="Arial"/>
      <w:b/>
      <w:caps/>
      <w:color w:val="00558C"/>
      <w:sz w:val="28"/>
    </w:rPr>
  </w:style>
  <w:style w:type="paragraph" w:customStyle="1" w:styleId="1">
    <w:name w:val="修订1"/>
    <w:hidden/>
    <w:uiPriority w:val="99"/>
    <w:semiHidden/>
    <w:qFormat/>
    <w:rPr>
      <w:rFonts w:ascii="Arial" w:eastAsia="Batang" w:hAnsi="Arial" w:cs="Calibri"/>
      <w:sz w:val="22"/>
      <w:szCs w:val="22"/>
      <w:lang w:val="en-GB" w:eastAsia="en-GB"/>
    </w:rPr>
  </w:style>
  <w:style w:type="paragraph" w:customStyle="1" w:styleId="2">
    <w:name w:val="修订2"/>
    <w:hidden/>
    <w:uiPriority w:val="99"/>
    <w:unhideWhenUsed/>
    <w:qFormat/>
    <w:rPr>
      <w:rFonts w:ascii="Arial" w:eastAsia="Batang" w:hAnsi="Arial" w:cs="Calibri"/>
      <w:sz w:val="22"/>
      <w:szCs w:val="22"/>
      <w:lang w:val="en-GB" w:eastAsia="en-GB"/>
    </w:rPr>
  </w:style>
  <w:style w:type="paragraph" w:customStyle="1" w:styleId="Revision1">
    <w:name w:val="Revision1"/>
    <w:hidden/>
    <w:uiPriority w:val="99"/>
    <w:unhideWhenUsed/>
    <w:qFormat/>
    <w:rPr>
      <w:rFonts w:ascii="Arial" w:eastAsia="Batang" w:hAnsi="Arial" w:cs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Visio_Drawing.vsdx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package" Target="embeddings/Microsoft_Visio_Drawing1.vsdx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  <customShpInfo spid="_x0000_s1025"/>
  </customShpExt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EF68F-3BBF-4102-95A9-D897E0DC8512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/>
</ds:datastoreItem>
</file>

<file path=customXml/itemProps4.xml><?xml version="1.0" encoding="utf-8"?>
<ds:datastoreItem xmlns:ds="http://schemas.openxmlformats.org/officeDocument/2006/customXml" ds:itemID="{67B46AEA-873E-4805-86B2-11DCF0F06F0B}">
  <ds:schemaRefs/>
</ds:datastoreItem>
</file>

<file path=customXml/itemProps5.xml><?xml version="1.0" encoding="utf-8"?>
<ds:datastoreItem xmlns:ds="http://schemas.openxmlformats.org/officeDocument/2006/customXml" ds:itemID="{3DC79889-A026-4D11-88A8-0965FBFA9D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667</Words>
  <Characters>3645</Characters>
  <Application>Microsoft Office Word</Application>
  <DocSecurity>0</DocSecurity>
  <Lines>77</Lines>
  <Paragraphs>51</Paragraphs>
  <ScaleCrop>false</ScaleCrop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35</cp:revision>
  <dcterms:created xsi:type="dcterms:W3CDTF">2024-08-30T04:56:00Z</dcterms:created>
  <dcterms:modified xsi:type="dcterms:W3CDTF">2025-03-07T14:08:00Z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  <property fmtid="{D5CDD505-2E9C-101B-9397-08002B2CF9AE}" pid="5" name="GrammarlyDocumentId">
    <vt:lpwstr>fa2258a4b35f4c84c4667cdf0a8adb6fc3c7709ff63cf438b1d766656a231780</vt:lpwstr>
  </property>
  <property fmtid="{D5CDD505-2E9C-101B-9397-08002B2CF9AE}" pid="6" name="KSOProductBuildVer">
    <vt:lpwstr>2052-12.1.0.19770</vt:lpwstr>
  </property>
  <property fmtid="{D5CDD505-2E9C-101B-9397-08002B2CF9AE}" pid="7" name="ICV">
    <vt:lpwstr>AA834B386C834D47AAD838FA66B26407_12</vt:lpwstr>
  </property>
  <property fmtid="{D5CDD505-2E9C-101B-9397-08002B2CF9AE}" pid="8" name="KSOTemplateDocerSaveRecord">
    <vt:lpwstr>eyJoZGlkIjoiNDExY2YxOTFjNzI5ZDBmMWJkYWExYzFkZjcxMjYyZTUiLCJ1c2VySWQiOiI0MTM1NjIzNjcifQ==</vt:lpwstr>
  </property>
</Properties>
</file>